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7705c7266ca243c0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after="240"/>
      </w:pPr>
      <w:r>
        <w:rPr>
          <w:b/>
          <w:bCs/>
          <w:color w:val="17365D"/>
          <w:sz w:val="52"/>
        </w:rPr>
        <w:t xml:space="preserve">Windows event review</w:t>
      </w:r>
    </w:p>
    <w:p>
      <w:pPr/>
      <w:r>
        <w:t xml:space="preserve">Application log | last 24 hours | levels 1, 2, 3 | limit 100 | collected 2026-10-11 06:30:00 +02:00</w:t>
      </w:r>
    </w:p>
    <w:p>
      <w:pPr>
        <w:spacing w:before="240" w:after="200"/>
      </w:pPr>
      <w:r>
        <w:rPr>
          <w:b/>
          <w:bCs/>
          <w:color w:val="9A3412"/>
          <w:sz w:val="32"/>
        </w:rPr>
        <w:t xml:space="preserve">4 retained / 0 critical / 2 errors / 2 warnings</w:t>
      </w:r>
    </w:p>
    <w:p>
      <w:pPr/>
      <w:r>
        <w:t xml:space="preserve">This bounded snapshot supports investigation. Counts do not identify a root cause or describe the entire environment.</w:t>
      </w:r>
    </w:p>
    <w:p>
      <w:pPr>
        <w:keepNext/>
        <w:spacing w:before="320" w:after="160"/>
      </w:pPr>
      <w:r>
        <w:rPr>
          <w:b/>
          <w:bCs/>
          <w:color w:val="17365D"/>
          <w:sz w:val="30"/>
        </w:rPr>
        <w:t xml:space="preserve">Where to start looking</w:t>
      </w:r>
    </w:p>
    <w:tbl>
      <w:tblPr>
        <w:tblStyle w:val="GridTable4-Accent1"/>
        <w:tblW w:w="5000" w:type="pct"/>
        <w:tblLayout w:type="fixed"/>
        <w:tblLook w:val="04A0"/>
      </w:tblPr>
      <w:tblGrid>
        <w:gridCol w:w="4680"/>
        <w:gridCol w:w="4680"/>
      </w:tblGrid>
      <w:tr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Provider</w:t>
            </w:r>
          </w:p>
        </w:tc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Events</w:t>
            </w:r>
          </w:p>
        </w:tc>
      </w:tr>
      <w:tr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Demo.Backup</w:t>
            </w:r>
          </w:p>
        </w:tc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2</w:t>
            </w:r>
          </w:p>
        </w:tc>
      </w:tr>
      <w:tr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Demo.Service</w:t>
            </w:r>
          </w:p>
        </w:tc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1</w:t>
            </w:r>
          </w:p>
        </w:tc>
      </w:tr>
      <w:tr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Demo.Storage</w:t>
            </w:r>
          </w:p>
        </w:tc>
        <w:tc>
          <w:tcPr>
            <w:tcW w:w="2500" w:type="pct"/>
            <w:tcMar>
              <w:top w:w="79" w:type="dxa"/>
              <w:bottom w:w="79" w:type="dxa"/>
            </w:tcMar>
          </w:tcPr>
          <w:p>
            <w:pPr/>
            <w:r>
              <w:t xml:space="preserve">1</w:t>
            </w:r>
          </w:p>
        </w:tc>
      </w:tr>
    </w:tbl>
    <w:p>
      <w:pPr>
        <w:keepNext/>
        <w:spacing w:before="320" w:after="160"/>
      </w:pPr>
      <w:r>
        <w:rPr>
          <w:b/>
          <w:bCs/>
          <w:color w:val="17365D"/>
          <w:sz w:val="30"/>
        </w:rPr>
        <w:t xml:space="preserve">Investigation handoff</w:t>
      </w:r>
    </w:p>
    <w:p>
      <w:pPr>
        <w:pStyle w:val="ListParagraph"/>
        <w:numPr>
          <w:ilvl w:val="0"/>
          <w:numId w:val="1"/>
        </w:numPr>
      </w:pPr>
      <w:r>
        <w:t xml:space="preserve">Open EventRegister.xlsx and read the full messages for the busiest providers.</w:t>
      </w:r>
    </w:p>
    <w:p>
      <w:pPr>
        <w:pStyle w:val="ListParagraph"/>
        <w:numPr>
          <w:ilvl w:val="0"/>
          <w:numId w:val="1"/>
        </w:numPr>
      </w:pPr>
      <w:r>
        <w:t xml:space="preserve">Compare the timestamps with the failed job, service change or user report.</w:t>
      </w:r>
    </w:p>
    <w:p>
      <w:pPr>
        <w:pStyle w:val="ListParagraph"/>
        <w:numPr>
          <w:ilvl w:val="0"/>
          <w:numId w:val="1"/>
        </w:numPr>
      </w:pPr>
      <w:r>
        <w:t xml:space="preserve">Record the investigation owner, next action and follow-up time in this document.</w:t>
      </w:r>
    </w:p>
    <w:sectPr w:rsidR="423112B2">
      <w:headerReference w:type="default" r:id="R0c4bec2926174b55"/>
      <w:footerReference w:type="default" r:id="R8c19e0078a6543ad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fldSimple w:instr=" PAGE  \* MERGEFORMAT " w:dirty="true">
      <w:r>
        <w:rPr>
          <w:noProof/>
        </w:rPr>
        <w:t>[Document Page]</w:t>
      </w:r>
    </w:fldSimple>
    <w:r>
      <w:t xml:space="preserve"> of </w:t>
    </w:r>
    <w:fldSimple w:instr=" NUMPAGES  \* MERGEFORMAT " w:dirty="true">
      <w:r>
        <w:rPr>
          <w:noProof/>
        </w:rPr>
        <w:t>[Document NumPages]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OPERATIONS / EVENT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A1AAB7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0c4bec2926174b55" />
  <Relationship Type="http://schemas.openxmlformats.org/officeDocument/2006/relationships/footer" Target="footer1.xml" Id="R8c19e0078a6543ad" />
  <Relationship Type="http://schemas.openxmlformats.org/officeDocument/2006/relationships/numbering" Target="numbering.xml" Id="Rc8743f4e815648f9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