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numbering.xml" ContentType="application/vnd.openxmlformats-officedocument.wordprocessingml.numbering+xml"/>
</Types>
</file>

<file path=_rels/.rels>&#65279;<?xml version="1.0" encoding="utf-8"?>
<Relationships xmlns="http://schemas.openxmlformats.org/package/2006/relationships">
  <Relationship Type="http://schemas.openxmlformats.org/officeDocument/2006/relationships/officeDocument" Target="word/document.xml" Id="R7bd6b70ec7674548" />
</Relationships>
</file>

<file path=word/document.xml><?xml version="1.0" encoding="utf-8"?>
<w:document xmlns:a="http://schemas.openxmlformats.org/drawingml/2006/main" xmlns:c="http://schemas.openxmlformats.org/drawingml/2006/chart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keepNext/>
        <w:spacing w:after="280"/>
      </w:pPr>
      <w:r>
        <w:rPr>
          <w:b/>
          <w:bCs/>
          <w:color w:val="17365D"/>
          <w:sz w:val="52"/>
        </w:rPr>
        <w:t xml:space="preserve">Patch compliance report</w:t>
      </w:r>
    </w:p>
    <w:p>
      <w:pPr/>
      <w:r>
        <w:rPr>
          <w:b/>
          <w:bCs/>
          <w:color w:val="166534"/>
          <w:sz w:val="40"/>
        </w:rPr>
        <w:t xml:space="preserve">93.2%</w:t>
      </w:r>
      <w:r>
        <w:rPr>
          <w:sz w:val="24"/>
        </w:rPr>
        <w:t xml:space="preserve">  of 311 production servers are patched, 21 are pending.</w:t>
      </w:r>
    </w:p>
    <w:p>
      <w:pPr>
        <w:pStyle w:val="Heading1"/>
        <w:keepNext/>
        <w:spacing w:before="320" w:after="160"/>
      </w:pPr>
      <w:r>
        <w:rPr>
          <w:b/>
          <w:bCs/>
          <w:color w:val="17365D"/>
          <w:sz w:val="30"/>
        </w:rPr>
        <w:t xml:space="preserve">Compliance by site</w:t>
      </w:r>
    </w:p>
    <w:tbl>
      <w:tblPr>
        <w:tblStyle w:val="GridTable4-Accent1"/>
        <w:tblW w:w="5000" w:type="pct"/>
        <w:tblLayout w:type="fixed"/>
        <w:tblLook w:val="04A0"/>
      </w:tblPr>
      <w:tblGrid>
        <w:gridCol w:w="1559"/>
        <w:gridCol w:w="1559"/>
        <w:gridCol w:w="1559"/>
        <w:gridCol w:w="1559"/>
        <w:gridCol w:w="1559"/>
        <w:gridCol w:w="1565"/>
      </w:tblGrid>
      <w:tr>
        <w:tc>
          <w:tcPr>
            <w:tcW w:w="833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Site</w:t>
            </w:r>
          </w:p>
        </w:tc>
        <w:tc>
          <w:tcPr>
            <w:tcW w:w="833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Servers</w:t>
            </w:r>
          </w:p>
        </w:tc>
        <w:tc>
          <w:tcPr>
            <w:tcW w:w="833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Patched</w:t>
            </w:r>
          </w:p>
        </w:tc>
        <w:tc>
          <w:tcPr>
            <w:tcW w:w="833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Pending</w:t>
            </w:r>
          </w:p>
        </w:tc>
        <w:tc>
          <w:tcPr>
            <w:tcW w:w="833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Compliance</w:t>
            </w:r>
          </w:p>
        </w:tc>
        <w:tc>
          <w:tcPr>
            <w:tcW w:w="835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Status</w:t>
            </w:r>
          </w:p>
        </w:tc>
      </w:tr>
      <w:tr>
        <w:tc>
          <w:tcPr>
            <w:tcW w:w="833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Warsaw</w:t>
            </w:r>
          </w:p>
        </w:tc>
        <w:tc>
          <w:tcPr>
            <w:tcW w:w="833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84</w:t>
            </w:r>
          </w:p>
        </w:tc>
        <w:tc>
          <w:tcPr>
            <w:tcW w:w="833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80</w:t>
            </w:r>
          </w:p>
        </w:tc>
        <w:tc>
          <w:tcPr>
            <w:tcW w:w="833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4</w:t>
            </w:r>
          </w:p>
        </w:tc>
        <w:tc>
          <w:tcPr>
            <w:tcW w:w="833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95.2%</w:t>
            </w:r>
          </w:p>
        </w:tc>
        <w:tc>
          <w:tcPr>
            <w:tcW w:w="835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On target</w:t>
            </w:r>
          </w:p>
        </w:tc>
      </w:tr>
      <w:tr>
        <w:tc>
          <w:tcPr>
            <w:tcW w:w="833" w:type="pct"/>
            <w:shd w:val="clear" w:fill="FFF4D6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Frankfurt</w:t>
            </w:r>
          </w:p>
        </w:tc>
        <w:tc>
          <w:tcPr>
            <w:tcW w:w="833" w:type="pct"/>
            <w:shd w:val="clear" w:fill="FFF4D6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66</w:t>
            </w:r>
          </w:p>
        </w:tc>
        <w:tc>
          <w:tcPr>
            <w:tcW w:w="833" w:type="pct"/>
            <w:shd w:val="clear" w:fill="FFF4D6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58</w:t>
            </w:r>
          </w:p>
        </w:tc>
        <w:tc>
          <w:tcPr>
            <w:tcW w:w="833" w:type="pct"/>
            <w:shd w:val="clear" w:fill="FFF4D6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8</w:t>
            </w:r>
          </w:p>
        </w:tc>
        <w:tc>
          <w:tcPr>
            <w:tcW w:w="833" w:type="pct"/>
            <w:shd w:val="clear" w:fill="FFF4D6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87.9%</w:t>
            </w:r>
          </w:p>
        </w:tc>
        <w:tc>
          <w:tcPr>
            <w:tcW w:w="835" w:type="pct"/>
            <w:shd w:val="clear" w:fill="FFF4D6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Watch</w:t>
            </w:r>
          </w:p>
        </w:tc>
      </w:tr>
      <w:tr>
        <w:tc>
          <w:tcPr>
            <w:tcW w:w="833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Dublin</w:t>
            </w:r>
          </w:p>
        </w:tc>
        <w:tc>
          <w:tcPr>
            <w:tcW w:w="833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52</w:t>
            </w:r>
          </w:p>
        </w:tc>
        <w:tc>
          <w:tcPr>
            <w:tcW w:w="833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50</w:t>
            </w:r>
          </w:p>
        </w:tc>
        <w:tc>
          <w:tcPr>
            <w:tcW w:w="833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2</w:t>
            </w:r>
          </w:p>
        </w:tc>
        <w:tc>
          <w:tcPr>
            <w:tcW w:w="833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96.2%</w:t>
            </w:r>
          </w:p>
        </w:tc>
        <w:tc>
          <w:tcPr>
            <w:tcW w:w="835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On target</w:t>
            </w:r>
          </w:p>
        </w:tc>
      </w:tr>
      <w:tr>
        <w:tc>
          <w:tcPr>
            <w:tcW w:w="833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Chicago</w:t>
            </w:r>
          </w:p>
        </w:tc>
        <w:tc>
          <w:tcPr>
            <w:tcW w:w="833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71</w:t>
            </w:r>
          </w:p>
        </w:tc>
        <w:tc>
          <w:tcPr>
            <w:tcW w:w="833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69</w:t>
            </w:r>
          </w:p>
        </w:tc>
        <w:tc>
          <w:tcPr>
            <w:tcW w:w="833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2</w:t>
            </w:r>
          </w:p>
        </w:tc>
        <w:tc>
          <w:tcPr>
            <w:tcW w:w="833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97.2%</w:t>
            </w:r>
          </w:p>
        </w:tc>
        <w:tc>
          <w:tcPr>
            <w:tcW w:w="835" w:type="pct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On target</w:t>
            </w:r>
          </w:p>
        </w:tc>
      </w:tr>
      <w:tr>
        <w:tc>
          <w:tcPr>
            <w:tcW w:w="833" w:type="pct"/>
            <w:shd w:val="clear" w:fill="FFF4D6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Singapore</w:t>
            </w:r>
          </w:p>
        </w:tc>
        <w:tc>
          <w:tcPr>
            <w:tcW w:w="833" w:type="pct"/>
            <w:shd w:val="clear" w:fill="FFF4D6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38</w:t>
            </w:r>
          </w:p>
        </w:tc>
        <w:tc>
          <w:tcPr>
            <w:tcW w:w="833" w:type="pct"/>
            <w:shd w:val="clear" w:fill="FFF4D6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33</w:t>
            </w:r>
          </w:p>
        </w:tc>
        <w:tc>
          <w:tcPr>
            <w:tcW w:w="833" w:type="pct"/>
            <w:shd w:val="clear" w:fill="FFF4D6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5</w:t>
            </w:r>
          </w:p>
        </w:tc>
        <w:tc>
          <w:tcPr>
            <w:tcW w:w="833" w:type="pct"/>
            <w:shd w:val="clear" w:fill="FFF4D6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86.8%</w:t>
            </w:r>
          </w:p>
        </w:tc>
        <w:tc>
          <w:tcPr>
            <w:tcW w:w="835" w:type="pct"/>
            <w:shd w:val="clear" w:fill="FFF4D6"/>
            <w:tcMar>
              <w:top w:w="68" w:type="dxa"/>
              <w:left w:w="91" w:type="dxa"/>
              <w:bottom w:w="68" w:type="dxa"/>
              <w:right w:w="91" w:type="dxa"/>
            </w:tcMar>
          </w:tcPr>
          <w:p>
            <w:pPr/>
            <w:r>
              <w:t xml:space="preserve">Watch</w:t>
            </w:r>
          </w:p>
        </w:tc>
      </w:tr>
    </w:tbl>
    <w:p>
      <w:pPr>
        <w:spacing w:before="280" w:after="240"/>
      </w:pPr>
    </w:p>
    <w:p>
      <w:pPr/>
      <w:r>
        <w:drawing>
          <wp:inline xmlns:wp="http://schemas.openxmlformats.org/drawingml/2006/wordprocessingDrawing">
            <wp:extent cx="5943600" cy="2476500"/>
            <wp:effectExtent l="0" t="0" r="19050" b="19050"/>
            <wp:docPr id="1" name="chart"/>
            <a:graphic xmlns:a="http://schemas.openxmlformats.org/drawingml/2006/main">
              <a:graphicData uri="http://schemas.openxmlformats.org/drawingml/2006/chart">
                <c:chart xmlns:p6="http://schemas.openxmlformats.org/officeDocument/2006/relationships" xmlns:c="http://schemas.openxmlformats.org/drawingml/2006/chart" p6:id="R6033fbb8699d4834"/>
              </a:graphicData>
            </a:graphic>
          </wp:inline>
        </w:drawing>
      </w:r>
    </w:p>
    <w:p>
      <w:pPr>
        <w:pStyle w:val="Heading1"/>
        <w:keepNext/>
        <w:spacing w:before="200" w:after="160"/>
      </w:pPr>
      <w:r>
        <w:rPr>
          <w:b/>
          <w:bCs/>
          <w:color w:val="17365D"/>
          <w:sz w:val="30"/>
        </w:rPr>
        <w:t xml:space="preserve">Next steps</w:t>
      </w:r>
    </w:p>
    <w:p>
      <w:pPr>
        <w:pStyle w:val="ListParagraph"/>
        <w:numPr>
          <w:ilvl w:val="0"/>
          <w:numId w:val="1"/>
        </w:numPr>
      </w:pPr>
      <w:r>
        <w:t xml:space="preserve">Frankfurt: patch the eight pending servers in the Thursday window.</w:t>
      </w:r>
    </w:p>
    <w:p>
      <w:pPr>
        <w:pStyle w:val="ListParagraph"/>
        <w:numPr>
          <w:ilvl w:val="0"/>
          <w:numId w:val="1"/>
        </w:numPr>
      </w:pPr>
      <w:r>
        <w:t xml:space="preserve">Singapore: confirm the maintenance slot with the regional owner.</w:t>
      </w:r>
    </w:p>
    <w:sectPr w:rsidR="0EACD00F">
      <w:headerReference w:type="default" r:id="R20767efad25c4aab"/>
      <w:footerReference w:type="default" r:id="R2e1f0f98abbd4e50"/>
      <w:pgSz w:w="12240" w:h="15840" w:code="1"/>
      <w:pgMar w:top="1440" w:right="1440" w:bottom="1440" w:left="1440" w:header="720" w:footer="720" w:gutter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>
  <w:p>
    <w:pPr/>
    <w:fldSimple w:instr=" PAGE  \* MERGEFORMAT " w:dirty="true">
      <w:r>
        <w:rPr>
          <w:noProof/>
        </w:rPr>
        <w:t>[Document Page]</w:t>
      </w:r>
    </w:fldSimple>
    <w:r>
      <w:t xml:space="preserve"> of </w:t>
    </w:r>
    <w:fldSimple w:instr=" NUMPAGES  \* MERGEFORMAT " w:dirty="true">
      <w:r>
        <w:rPr>
          <w:noProof/>
        </w:rPr>
        <w:t>[Document NumPages]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28F1" w:rsidP="00EC28F1" w:rsidRDefault="00EC28F1" w14:paraId="13FE0CF9" w14:textId="77777777">
      <w:pPr>
        <w:spacing w:after="0" w:line="240" w:lineRule="auto"/>
      </w:pPr>
      <w:r>
        <w:separator/>
      </w:r>
    </w:p>
  </w:footnote>
  <w:footnote w:type="continuationSeparator" w:id="0">
    <w:p w:rsidR="00EC28F1" w:rsidP="00EC28F1" w:rsidRDefault="00EC28F1" w14:paraId="60AD3AE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>
  <w:p>
    <w:pPr/>
    <w:r>
      <w:t xml:space="preserve">Contoso IT operations - week 41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032B1"/>
    <w:multiLevelType w:val="hybridMultilevel"/>
    <w:tmpl w:val="25BE42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true">
      <w:start w:val="1"/>
      <w:numFmt w:val="lowerLetter"/>
      <w:lvlText w:val="%2."/>
      <w:lvlJc w:val="left"/>
      <w:pPr>
        <w:ind w:left="1440" w:hanging="360"/>
      </w:pPr>
    </w:lvl>
    <w:lvl w:ilvl="2" w:tplc="0409001B" w:tentative="true">
      <w:start w:val="1"/>
      <w:numFmt w:val="lowerRoman"/>
      <w:lvlText w:val="%3."/>
      <w:lvlJc w:val="left"/>
      <w:pPr>
        <w:ind w:left="2160" w:hanging="180"/>
      </w:pPr>
    </w:lvl>
    <w:lvl w:ilvl="3" w:tplc="0409000F" w:tentative="true">
      <w:start w:val="1"/>
      <w:numFmt w:val="decimal"/>
      <w:lvlText w:val="%4."/>
      <w:lvlJc w:val="left"/>
      <w:pPr>
        <w:ind w:left="2880" w:hanging="360"/>
      </w:pPr>
    </w:lvl>
    <w:lvl w:ilvl="4" w:tplc="04090019" w:tentative="true">
      <w:start w:val="1"/>
      <w:numFmt w:val="lowerLetter"/>
      <w:lvlText w:val="%5."/>
      <w:lvlJc w:val="left"/>
      <w:pPr>
        <w:ind w:left="3600" w:hanging="360"/>
      </w:pPr>
    </w:lvl>
    <w:lvl w:ilvl="5" w:tplc="0409001B" w:tentative="true">
      <w:start w:val="1"/>
      <w:numFmt w:val="lowerRoman"/>
      <w:lvlText w:val="%6."/>
      <w:lvlJc w:val="left"/>
      <w:pPr>
        <w:ind w:left="4320" w:hanging="180"/>
      </w:pPr>
    </w:lvl>
    <w:lvl w:ilvl="6" w:tplc="0409000F" w:tentative="true">
      <w:start w:val="1"/>
      <w:numFmt w:val="decimal"/>
      <w:lvlText w:val="%7."/>
      <w:lvlJc w:val="left"/>
      <w:pPr>
        <w:ind w:left="5040" w:hanging="360"/>
      </w:pPr>
    </w:lvl>
    <w:lvl w:ilvl="7" w:tplc="04090019" w:tentative="true">
      <w:start w:val="1"/>
      <w:numFmt w:val="lowerLetter"/>
      <w:lvlText w:val="%8."/>
      <w:lvlJc w:val="left"/>
      <w:pPr>
        <w:ind w:left="5760" w:hanging="360"/>
      </w:pPr>
    </w:lvl>
    <w:lvl w:ilvl="8" w:tplc="0409001B" w:tentative="true">
      <w:start w:val="1"/>
      <w:numFmt w:val="lowerRoman"/>
      <w:lvlText w:val="%9."/>
      <w:lvlJc w:val="lef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AA"/>
    <w:rsid w:val="002D4FAA"/>
    <w:rsid w:val="006B3CD0"/>
    <w:rsid w:val="00767C75"/>
    <w:rsid w:val="00902D87"/>
    <w:rsid w:val="00E41DA3"/>
    <w:rsid w:val="00E82D66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18C6"/>
  <w15:chartTrackingRefBased/>
  <w15:docId w15:val="{4B1E9AE4-A62B-439B-84E0-F60BAA50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652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86528E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6528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ListTable1Light">
    <w:name w:val="List Table 1 Light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tblPr/>
      <w:tcPr>
        <w:tcBorders>
          <w:top w:val="single" w:color="5B9BD5" w:themeColor="accent5" w:sz="4" w:space="0"/>
          <w:bottom w:val="single" w:color="5B9BD5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5" w:sz="4" w:space="0"/>
          <w:left w:val="nil"/>
        </w:tcBorders>
      </w:tcPr>
    </w:tblStylePr>
    <w:tblStylePr w:type="swCell">
      <w:tblPr/>
      <w:tcPr>
        <w:tcBorders>
          <w:top w:val="double" w:color="5B9BD5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C6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C6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ED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ED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ED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ED2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ED2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ED2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ED2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353172"/>
    <w:pPr>
      <w:ind w:left="720"/>
      <w:contextualSpacing/>
    </w:pPr>
  </w:style>
  <w:style w:type="character" w:styleId="DefaultParagraphFont" w:default="true">
    <w:name w:val="Default Paragraph Font"/>
    <w:uiPriority w:val="1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700ED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true">
    <w:name w:val="Heading 2 Char"/>
    <w:basedOn w:val="DefaultParagraphFont"/>
    <w:link w:val="Heading2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true">
    <w:name w:val="Heading 4 Char"/>
    <w:basedOn w:val="DefaultParagraphFont"/>
    <w:link w:val="Heading4"/>
    <w:uiPriority w:val="9"/>
    <w:semiHidden/>
    <w:rsid w:val="00700ED2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5Char" w:customStyle="true">
    <w:name w:val="Heading 5 Char"/>
    <w:basedOn w:val="DefaultParagraphFont"/>
    <w:link w:val="Heading5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true">
    <w:name w:val="Heading 6 Char"/>
    <w:basedOn w:val="DefaultParagraphFont"/>
    <w:link w:val="Heading6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true">
    <w:name w:val="Heading 7 Char"/>
    <w:basedOn w:val="DefaultParagraphFont"/>
    <w:link w:val="Heading7"/>
    <w:uiPriority w:val="9"/>
    <w:semiHidden/>
    <w:rsid w:val="00700ED2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true">
    <w:name w:val="Heading 8 Char"/>
    <w:basedOn w:val="DefaultParagraphFont"/>
    <w:link w:val="Heading8"/>
    <w:uiPriority w:val="9"/>
    <w:semiHidden/>
    <w:rsid w:val="00700ED2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true">
    <w:name w:val="Heading 9 Char"/>
    <w:basedOn w:val="DefaultParagraphFont"/>
    <w:link w:val="Heading9"/>
    <w:uiPriority w:val="9"/>
    <w:semiHidden/>
    <w:rsid w:val="00700ED2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numbering" w:styleId="NoList" w:default="true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true">
    <w:name w:val="Header Char"/>
    <w:basedOn w:val="DefaultParagraphFont"/>
    <w:link w:val="Header"/>
    <w:uiPriority w:val="99"/>
    <w:rsid w:val="00EC28F1"/>
  </w:style>
  <w:style w:type="paragraph" w:styleId="Footer">
    <w:name w:val="footer"/>
    <w:basedOn w:val="Normal"/>
    <w:link w:val="Foot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true">
    <w:name w:val="Footer Char"/>
    <w:basedOn w:val="DefaultParagraphFont"/>
    <w:link w:val="Footer"/>
    <w:uiPriority w:val="99"/>
    <w:rsid w:val="00EC28F1"/>
  </w:style>
  <w:style w:type="paragraph" w:styleId="FootnoteText">
    <w:name w:val="footnote text"/>
    <w:basedOn w:val="Normal"/>
    <w:link w:val="Foot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FootnoteTextChar" w:customStyle="true">
    <w:name w:val="Footnote Text Char"/>
    <w:basedOn w:val="DefaultParagraphFont"/>
    <w:link w:val="FootnoteText"/>
    <w:uiPriority w:val="99"/>
    <w:semiHidden/>
    <w:rsid w:val="00EC28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8F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EndnoteTextChar" w:customStyle="true">
    <w:name w:val="Endnote Text Char"/>
    <w:basedOn w:val="DefaultParagraphFont"/>
    <w:link w:val="EndnoteText"/>
    <w:uiPriority w:val="99"/>
    <w:semiHidden/>
    <w:rsid w:val="00EC28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C28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
<Relationships xmlns="http://schemas.openxmlformats.org/package/2006/relationships">
  <Relationship Type="http://schemas.openxmlformats.org/officeDocument/2006/relationships/styles" Target="styles.xml" Id="rId1" />
  <Relationship Type="http://schemas.openxmlformats.org/officeDocument/2006/relationships/webSettings" Target="webSettings.xml" Id="rId3" />
  <Relationship Type="http://schemas.openxmlformats.org/officeDocument/2006/relationships/settings" Target="settings.xml" Id="rId2" />
  <Relationship Type="http://schemas.openxmlformats.org/officeDocument/2006/relationships/endnotes" Target="endnotes.xml" Id="rId4" />
  <Relationship Type="http://schemas.openxmlformats.org/officeDocument/2006/relationships/footnotes" Target="footnotes.xml" Id="rId5" />
  <Relationship Type="http://schemas.openxmlformats.org/officeDocument/2006/relationships/fontTable" Target="fontTable.xml" Id="rId6" />
  <Relationship Type="http://schemas.openxmlformats.org/officeDocument/2006/relationships/theme" Target="theme/theme1.xml" Id="rId7" />
  <Relationship Type="http://schemas.openxmlformats.org/officeDocument/2006/relationships/header" Target="header1.xml" Id="R20767efad25c4aab" />
  <Relationship Type="http://schemas.openxmlformats.org/officeDocument/2006/relationships/footer" Target="footer1.xml" Id="R2e1f0f98abbd4e50" />
  <Relationship Type="http://schemas.openxmlformats.org/officeDocument/2006/relationships/chart" Target="charts/chart1.xml" Id="R6033fbb8699d4834" />
  <Relationship Type="http://schemas.openxmlformats.org/officeDocument/2006/relationships/numbering" Target="numbering.xml" Id="R4ecdad0abb844180" />
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roundedCorners val="0"/>
  <c:chart>
    <c:title>
      <c:tx>
        <c:rich>
          <a:bodyPr/>
          <a:lstStyle/>
          <a:p>
            <a:pPr>
              <a:defRPr/>
            </a:pPr>
            <a:r>
              <a:t>Patched and pending by site</a:t>
            </a:r>
          </a:p>
        </c:rich>
      </c:tx>
      <c:overlay val="0"/>
    </c:title>
    <c:autoTitleDeleted val="0"/>
    <c:plotArea>
      <c:layout/>
      <c:barChart xmlns:c="http://schemas.openxmlformats.org/drawingml/2006/chart">
        <c:barDir val="bar"/>
        <c:grouping val="standard"/>
        <c:ser>
          <c:idx val="0"/>
          <c:order val="0"/>
          <c:tx>
            <c:strRef>
              <c:f/>
              <c:strCache>
                <c:pt idx="0">
                  <c:v>Patched</c:v>
                </c:pt>
              </c:strCache>
            </c:strRef>
          </c:tx>
          <c:spPr>
            <a:solidFill>
              <a:srgbClr val="1F77B4"/>
            </a:solidFill>
          </c:spPr>
          <c:invertIfNegative/>
          <c:cat>
            <c:strLit>
              <c:ptCount val="5"/>
              <c:pt idx="0">
                <c:v>Warsaw</c:v>
              </c:pt>
              <c:pt idx="1">
                <c:v>Frankfurt</c:v>
              </c:pt>
              <c:pt idx="2">
                <c:v>Dublin</c:v>
              </c:pt>
              <c:pt idx="3">
                <c:v>Chicago</c:v>
              </c:pt>
              <c:pt idx="4">
                <c:v>Singapore</c:v>
              </c:pt>
            </c:strLit>
          </c:cat>
          <c:val>
            <c:numLit>
              <c:formatCode>General</c:formatCode>
              <c:ptCount val="5"/>
              <c:pt idx="0">
                <c:v>80</c:v>
              </c:pt>
              <c:pt idx="1">
                <c:v>58</c:v>
              </c:pt>
              <c:pt idx="2">
                <c:v>50</c:v>
              </c:pt>
              <c:pt idx="3">
                <c:v>69</c:v>
              </c:pt>
              <c:pt idx="4">
                <c:v>33</c:v>
              </c:pt>
            </c:numLit>
          </c:val>
        </c:ser>
        <c:ser>
          <c:idx val="1"/>
          <c:order val="1"/>
          <c:tx>
            <c:strRef>
              <c:f/>
              <c:strCache>
                <c:pt idx="0">
                  <c:v>Pending</c:v>
                </c:pt>
              </c:strCache>
            </c:strRef>
          </c:tx>
          <c:spPr>
            <a:solidFill>
              <a:srgbClr val="FF7F0E"/>
            </a:solidFill>
          </c:spPr>
          <c:invertIfNegative/>
          <c:cat>
            <c:strLit>
              <c:ptCount val="5"/>
              <c:pt idx="0">
                <c:v>Warsaw</c:v>
              </c:pt>
              <c:pt idx="1">
                <c:v>Frankfurt</c:v>
              </c:pt>
              <c:pt idx="2">
                <c:v>Dublin</c:v>
              </c:pt>
              <c:pt idx="3">
                <c:v>Chicago</c:v>
              </c:pt>
              <c:pt idx="4">
                <c:v>Singapore</c:v>
              </c:pt>
            </c:strLit>
          </c:cat>
          <c:val>
            <c:numLit>
              <c:formatCode>General</c:formatCode>
              <c:ptCount val="5"/>
              <c:pt idx="0">
                <c:v>4</c:v>
              </c:pt>
              <c:pt idx="1">
                <c:v>8</c:v>
              </c:pt>
              <c:pt idx="2">
                <c:v>2</c:v>
              </c:pt>
              <c:pt idx="3">
                <c:v>2</c:v>
              </c:pt>
              <c:pt idx="4">
                <c:v>5</c:v>
              </c:pt>
            </c:numLit>
          </c:val>
        </c:ser>
        <c:dLbls xmlns:c="http://schemas.openxmlformats.org/drawingml/2006/chart">
          <c:showLegendKey val="0"/>
          <c:showVal val="1"/>
          <c:showCatName val="0"/>
          <c:showSerName val="0"/>
          <c:showPercent val="1"/>
          <c:showBubbleSize val="0"/>
          <c:showLeaderLines val="1"/>
        </c:dLbls>
        <c:gapWidth val="200"/>
        <c:overlap val="0"/>
        <c:axId xmlns:c="http://schemas.openxmlformats.org/drawingml/2006/chart" val="148921729"/>
        <c:axId xmlns:c="http://schemas.openxmlformats.org/drawingml/2006/chart" val="148921730"/>
      </c:barChart>
      <c:catAx xmlns:c="http://schemas.openxmlformats.org/drawingml/2006/chart">
        <c:axId val="148921729"/>
        <c:scaling>
          <c:orientation val="minMax"/>
        </c:scaling>
        <c:delete val="0"/>
        <c:axPos val="b"/>
        <c:majorTickMark val="out"/>
        <c:minorTickMark val="none"/>
        <c:tickLblPos val="nextTo"/>
        <c:crossAx val="148921730"/>
        <c:crosses val="autoZero"/>
        <c:auto val="1"/>
        <c:lblAlgn val="ctr"/>
        <c:lblOffset val="100"/>
        <c:noMultiLvlLbl val="0"/>
      </c:catAx>
      <c:valAx xmlns:c="http://schemas.openxmlformats.org/drawingml/2006/chart">
        <c:axId val="148921730"/>
        <c:scaling>
          <c:orientation val="minMax"/>
        </c:scaling>
        <c:delete val="0"/>
        <c:axPos val="l"/>
        <c:majorGridlines/>
        <c:numFmt formatCode="General" sourceLinked="0"/>
        <c:majorTickMark val="out"/>
        <c:minorTickMark val="none"/>
        <c:tickLblPos val="nextTo"/>
        <c:crossAx val="148921729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</c:chartSpace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