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smdcp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a0d737d2f84d4ecb" />
  <Relationship Type="http://schemas.openxmlformats.org/package/2006/relationships/metadata/core-properties" Target="package/services/metadata/core-properties/a19dfb60b16a45858d0da2f2b39ffec0.psmdcp" Id="R5699a5dd172749fa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keepNext/>
        <w:spacing w:before="0" w:after="280"/>
      </w:pPr>
      <w:r>
        <w:rPr>
          <w:rFonts w:ascii="Carlito" w:hAnsi="Carlito" w:eastAsia="Carlito" w:cs="Carlito"/>
          <w:b/>
          <w:bCs/>
          <w:color w:val="17365D"/>
          <w:sz w:val="52"/>
        </w:rPr>
        <w:t xml:space="preserve">Business case: service intake</w:t>
      </w:r>
    </w:p>
    <w:p>
      <w:pPr>
        <w:spacing w:before="0" w:after="140"/>
      </w:pPr>
      <w:r>
        <w:rPr>
          <w:rFonts w:ascii="Carlito" w:hAnsi="Carlito" w:eastAsia="Carlito" w:cs="Carlito"/>
          <w:sz w:val="22"/>
        </w:rPr>
        <w:t xml:space="preserve">NORTHWIND / INVESTMENT REVIEW / ILLUSTRATIVE ESTIMATE</w:t>
      </w:r>
    </w:p>
    <w:p>
      <w:pPr>
        <w:spacing w:before="0" w:after="140"/>
      </w:pPr>
      <w:r>
        <w:rPr>
          <w:rFonts w:ascii="Carlito" w:hAnsi="Carlito" w:eastAsia="Carlito" w:cs="Carlito"/>
          <w:sz w:val="22"/>
        </w:rPr>
        <w:t xml:space="preserve">Decide whether a shared intake form is worth a six-week pilot. The baseline is 240 requests per month; every amount below is an estimate.</w:t>
      </w:r>
    </w:p>
    <w:p>
      <w:pPr>
        <w:pStyle w:val="Heading2"/>
        <w:keepNext/>
        <w:spacing w:before="280" w:after="160"/>
      </w:pPr>
      <w:r>
        <w:rPr>
          <w:rFonts w:ascii="Carlito" w:hAnsi="Carlito" w:eastAsia="Carlito" w:cs="Carlito"/>
          <w:b/>
          <w:bCs/>
          <w:color w:val="17365D"/>
          <w:sz w:val="30"/>
        </w:rPr>
        <w:t xml:space="preserve">Compare the options</w:t>
      </w:r>
    </w:p>
    <w:tbl>
      <w:tblPr>
        <w:tblStyle w:val="TableGrid"/>
        <w:tblW w:w="5000" w:type="pct"/>
        <w:tblLayout w:type="fixed"/>
        <w:tblLook w:val="04A0"/>
      </w:tblPr>
      <w:tblGrid>
        <w:gridCol w:w="2340"/>
        <w:gridCol w:w="1872"/>
        <w:gridCol w:w="2808"/>
        <w:gridCol w:w="2340"/>
      </w:tblGrid>
      <w:tr>
        <w:tc>
          <w:tcPr>
            <w:tcW w:w="125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Option</w:t>
            </w:r>
          </w:p>
        </w:tc>
        <w:tc>
          <w:tcPr>
            <w:tcW w:w="100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One-off cost</w:t>
            </w:r>
          </w:p>
        </w:tc>
        <w:tc>
          <w:tcPr>
            <w:tcW w:w="150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Monthly saving</w:t>
            </w:r>
          </w:p>
        </w:tc>
        <w:tc>
          <w:tcPr>
            <w:tcW w:w="125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Trade-off</w:t>
            </w:r>
          </w:p>
        </w:tc>
      </w:tr>
      <w:tr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Keep current queues</w:t>
            </w:r>
          </w:p>
        </w:tc>
        <w:tc>
          <w:tcPr>
            <w:tcW w:w="10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EUR 0</w:t>
            </w:r>
          </w:p>
        </w:tc>
        <w:tc>
          <w:tcPr>
            <w:tcW w:w="15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EUR 0</w:t>
            </w:r>
          </w:p>
        </w:tc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Manual triage continues</w:t>
            </w:r>
          </w:p>
        </w:tc>
      </w:tr>
      <w:tr>
        <w:tc>
          <w:tcPr>
            <w:tcW w:w="125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Improve the existing form</w:t>
            </w:r>
          </w:p>
        </w:tc>
        <w:tc>
          <w:tcPr>
            <w:tcW w:w="100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EUR 4,800</w:t>
            </w:r>
          </w:p>
        </w:tc>
        <w:tc>
          <w:tcPr>
            <w:tcW w:w="150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EUR 700</w:t>
            </w:r>
          </w:p>
        </w:tc>
        <w:tc>
          <w:tcPr>
            <w:tcW w:w="125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Limited reporting</w:t>
            </w:r>
          </w:p>
        </w:tc>
      </w:tr>
      <w:tr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Build a shared intake</w:t>
            </w:r>
          </w:p>
        </w:tc>
        <w:tc>
          <w:tcPr>
            <w:tcW w:w="10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EUR 9,600</w:t>
            </w:r>
          </w:p>
        </w:tc>
        <w:tc>
          <w:tcPr>
            <w:tcW w:w="15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EUR 1,200</w:t>
            </w:r>
          </w:p>
        </w:tc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Needs an owning team</w:t>
            </w:r>
          </w:p>
        </w:tc>
      </w:tr>
    </w:tbl>
    <w:p>
      <w:pPr>
        <w:pStyle w:val="Heading2"/>
        <w:keepNext/>
        <w:spacing w:before="280" w:after="160"/>
      </w:pPr>
      <w:r>
        <w:rPr>
          <w:rFonts w:ascii="Carlito" w:hAnsi="Carlito" w:eastAsia="Carlito" w:cs="Carlito"/>
          <w:b/>
          <w:bCs/>
          <w:color w:val="17365D"/>
          <w:sz w:val="30"/>
        </w:rPr>
        <w:t xml:space="preserve">Recommendation and sensitivity</w:t>
      </w:r>
    </w:p>
    <w:p>
      <w:pPr>
        <w:spacing w:before="0" w:after="140"/>
      </w:pPr>
      <w:r>
        <w:rPr>
          <w:rFonts w:ascii="Carlito" w:hAnsi="Carlito" w:eastAsia="Carlito" w:cs="Carlito"/>
          <w:sz w:val="22"/>
        </w:rPr>
        <w:t xml:space="preserve">Pilot the existing-form improvement first. At the estimated saving, simple payback is about seven months; at half the saving it is about fourteen. This excludes tax, financing and ongoing support cost.</w:t>
      </w:r>
    </w:p>
    <w:p>
      <w:pPr>
        <w:pStyle w:val="Heading2"/>
        <w:keepNext/>
        <w:spacing w:before="280" w:after="160"/>
      </w:pPr>
      <w:r>
        <w:rPr>
          <w:rFonts w:ascii="Carlito" w:hAnsi="Carlito" w:eastAsia="Carlito" w:cs="Carlito"/>
          <w:b/>
          <w:bCs/>
          <w:color w:val="17365D"/>
          <w:sz w:val="30"/>
        </w:rPr>
        <w:t xml:space="preserve">Next actions</w:t>
      </w:r>
    </w:p>
    <w:p>
      <w:pPr>
        <w:pStyle w:val="ListParagraph"/>
        <w:numPr>
          <w:ilvl w:val="0"/>
          <w:numId w:val="1"/>
        </w:numPr>
        <w:spacing w:before="0" w:after="140"/>
      </w:pPr>
      <w:r>
        <w:rPr>
          <w:rFonts w:ascii="Carlito" w:hAnsi="Carlito" w:eastAsia="Carlito" w:cs="Carlito"/>
          <w:sz w:val="22"/>
        </w:rPr>
        <w:t xml:space="preserve">Finance: replace estimates with a full cost model.</w:t>
      </w:r>
    </w:p>
    <w:p>
      <w:pPr>
        <w:pStyle w:val="ListParagraph"/>
        <w:numPr>
          <w:ilvl w:val="0"/>
          <w:numId w:val="1"/>
        </w:numPr>
        <w:spacing w:before="0" w:after="140"/>
      </w:pPr>
      <w:r>
        <w:rPr>
          <w:rFonts w:ascii="Carlito" w:hAnsi="Carlito" w:eastAsia="Carlito" w:cs="Carlito"/>
          <w:sz w:val="22"/>
        </w:rPr>
        <w:t xml:space="preserve">Operations: measure triage time before and during the pilot.</w:t>
      </w:r>
    </w:p>
    <w:p>
      <w:pPr>
        <w:pStyle w:val="ListParagraph"/>
        <w:numPr>
          <w:ilvl w:val="0"/>
          <w:numId w:val="1"/>
        </w:numPr>
        <w:spacing w:before="0" w:after="140"/>
      </w:pPr>
      <w:r>
        <w:rPr>
          <w:rFonts w:ascii="Carlito" w:hAnsi="Carlito" w:eastAsia="Carlito" w:cs="Carlito"/>
          <w:sz w:val="22"/>
        </w:rPr>
        <w:t xml:space="preserve">Sponsor: review results before committing to a wider rollout.</w:t>
      </w:r>
    </w:p>
    <w:sectPr w:rsidR="129C9916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20E252"/>
    <w:multiLevelType w:val="hybridMultilevel"/>
    <w:tmpl w:val="934E79A6"/>
    <w:lvl w:ilvl="0" w:tplc="04090001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hAnsi="Carlito" w:eastAsia="Carlito" w:cs="Carlito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numbering" Target="numbering.xml" Id="Rf0a66dce78c741f0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