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
<Relationships xmlns="http://schemas.openxmlformats.org/package/2006/relationships">
  <Relationship Type="http://schemas.openxmlformats.org/officeDocument/2006/relationships/officeDocument" Target="word/document.xml" Id="Rb62dafef480e45b0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Heading1"/>
        <w:spacing w:after="240"/>
      </w:pPr>
      <w:r>
        <w:rPr>
          <w:rFonts w:ascii="Carlito" w:hAnsi="Carlito" w:eastAsia="Carlito" w:cs="Carlito"/>
          <w:b/>
          <w:bCs/>
          <w:sz w:val="52"/>
        </w:rPr>
        <w:t xml:space="preserve">Decision record / DR-014</w:t>
      </w:r>
    </w:p>
    <w:p>
      <w:pPr>
        <w:spacing w:after="140"/>
      </w:pPr>
      <w:r>
        <w:rPr>
          <w:rFonts w:ascii="Carlito" w:hAnsi="Carlito" w:eastAsia="Carlito" w:cs="Carlito"/>
          <w:sz w:val="22"/>
        </w:rPr>
        <w:t xml:space="preserve">Standardize the weekly service report</w:t>
      </w:r>
    </w:p>
    <w:p>
      <w:pPr>
        <w:spacing w:after="140"/>
      </w:pPr>
      <w:r>
        <w:rPr>
          <w:rFonts w:ascii="Carlito" w:hAnsi="Carlito" w:eastAsia="Carlito" w:cs="Carlito"/>
          <w:sz w:val="22"/>
        </w:rPr>
        <w:t xml:space="preserve">Status: Accepted | Decision owner: Operations | Date: 14 September 2026</w:t>
      </w:r>
    </w:p>
    <w:p>
      <w:pPr>
        <w:pStyle w:val="Heading2"/>
        <w:spacing w:before="240" w:after="120"/>
      </w:pPr>
      <w:r>
        <w:rPr>
          <w:rFonts w:ascii="Carlito" w:hAnsi="Carlito" w:eastAsia="Carlito" w:cs="Carlito"/>
          <w:b/>
          <w:bCs/>
          <w:sz w:val="30"/>
        </w:rPr>
        <w:t xml:space="preserve">Context</w:t>
      </w:r>
    </w:p>
    <w:p>
      <w:pPr>
        <w:spacing w:after="140"/>
      </w:pPr>
      <w:r>
        <w:rPr>
          <w:rFonts w:ascii="Carlito" w:hAnsi="Carlito" w:eastAsia="Carlito" w:cs="Carlito"/>
          <w:sz w:val="22"/>
        </w:rPr>
        <w:t xml:space="preserve">Teams currently prepare separate reports. Reviewers need consistent measures and a clear place to find the supporting data.</w:t>
      </w:r>
    </w:p>
    <w:p>
      <w:pPr>
        <w:pStyle w:val="Heading2"/>
        <w:spacing w:before="240" w:after="120"/>
      </w:pPr>
      <w:r>
        <w:rPr>
          <w:rFonts w:ascii="Carlito" w:hAnsi="Carlito" w:eastAsia="Carlito" w:cs="Carlito"/>
          <w:b/>
          <w:bCs/>
          <w:sz w:val="30"/>
        </w:rPr>
        <w:t xml:space="preserve">Options considered</w:t>
      </w:r>
    </w:p>
    <w:tbl>
      <w:tblPr>
        <w:tblStyle w:val="TableGrid"/>
        <w:tblW w:w="5000" w:type="pct"/>
        <w:tblLayout w:type="fixed"/>
        <w:tblLook w:val="04A0"/>
      </w:tblPr>
      <w:tblGrid>
        <w:gridCol w:w="2808"/>
        <w:gridCol w:w="2808"/>
        <w:gridCol w:w="3744"/>
      </w:tblGrid>
      <w:tr>
        <w:tc>
          <w:tcPr>
            <w:tcW w:w="1500" w:type="pct"/>
            <w:shd w:val="clear" w:fill="E8EEF8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b/>
                <w:bCs/>
                <w:sz w:val="22"/>
              </w:rPr>
              <w:t xml:space="preserve">Option</w:t>
            </w:r>
          </w:p>
        </w:tc>
        <w:tc>
          <w:tcPr>
            <w:tcW w:w="1500" w:type="pct"/>
            <w:shd w:val="clear" w:fill="E8EEF8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b/>
                <w:bCs/>
                <w:sz w:val="22"/>
              </w:rPr>
              <w:t xml:space="preserve">Strength</w:t>
            </w:r>
          </w:p>
        </w:tc>
        <w:tc>
          <w:tcPr>
            <w:tcW w:w="2000" w:type="pct"/>
            <w:shd w:val="clear" w:fill="E8EEF8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b/>
                <w:bCs/>
                <w:sz w:val="22"/>
              </w:rPr>
              <w:t xml:space="preserve">Trade-off</w:t>
            </w:r>
          </w:p>
        </w:tc>
      </w:tr>
      <w:tr>
        <w:tc>
          <w:tcPr>
            <w:tcW w:w="150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Free-form documents</w:t>
            </w:r>
          </w:p>
        </w:tc>
        <w:tc>
          <w:tcPr>
            <w:tcW w:w="150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Flexible for each team</w:t>
            </w:r>
          </w:p>
        </w:tc>
        <w:tc>
          <w:tcPr>
            <w:tcW w:w="200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Hard to compare</w:t>
            </w:r>
          </w:p>
        </w:tc>
      </w:tr>
      <w:tr>
        <w:tc>
          <w:tcPr>
            <w:tcW w:w="150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Shared document template</w:t>
            </w:r>
          </w:p>
        </w:tc>
        <w:tc>
          <w:tcPr>
            <w:tcW w:w="150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Consistent review structure</w:t>
            </w:r>
          </w:p>
        </w:tc>
        <w:tc>
          <w:tcPr>
            <w:tcW w:w="200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Requires an owner</w:t>
            </w:r>
          </w:p>
        </w:tc>
      </w:tr>
      <w:tr>
        <w:tc>
          <w:tcPr>
            <w:tcW w:w="150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Dashboard only</w:t>
            </w:r>
          </w:p>
        </w:tc>
        <w:tc>
          <w:tcPr>
            <w:tcW w:w="150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Always available</w:t>
            </w:r>
          </w:p>
        </w:tc>
        <w:tc>
          <w:tcPr>
            <w:tcW w:w="200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Harder to annotate offline</w:t>
            </w:r>
          </w:p>
        </w:tc>
      </w:tr>
    </w:tbl>
    <w:p>
      <w:pPr>
        <w:pStyle w:val="Heading2"/>
        <w:spacing w:before="240" w:after="120"/>
      </w:pPr>
      <w:r>
        <w:rPr>
          <w:rFonts w:ascii="Carlito" w:hAnsi="Carlito" w:eastAsia="Carlito" w:cs="Carlito"/>
          <w:b/>
          <w:bCs/>
          <w:sz w:val="30"/>
        </w:rPr>
        <w:t xml:space="preserve">Decision</w:t>
      </w:r>
    </w:p>
    <w:p>
      <w:pPr>
        <w:spacing w:after="140"/>
      </w:pPr>
      <w:r>
        <w:rPr>
          <w:rFonts w:ascii="Carlito" w:hAnsi="Carlito" w:eastAsia="Carlito" w:cs="Carlito"/>
          <w:sz w:val="22"/>
        </w:rPr>
        <w:t xml:space="preserve">Use a shared document template, with links to the source dashboard for detailed investigation.</w:t>
      </w:r>
    </w:p>
    <w:p>
      <w:pPr>
        <w:pStyle w:val="Heading2"/>
        <w:spacing w:before="240" w:after="120"/>
      </w:pPr>
      <w:r>
        <w:rPr>
          <w:rFonts w:ascii="Carlito" w:hAnsi="Carlito" w:eastAsia="Carlito" w:cs="Carlito"/>
          <w:b/>
          <w:bCs/>
          <w:sz w:val="30"/>
        </w:rPr>
        <w:t xml:space="preserve">Revisit when</w:t>
      </w:r>
    </w:p>
    <w:p>
      <w:pPr>
        <w:spacing w:after="140"/>
      </w:pPr>
      <w:r>
        <w:rPr>
          <w:rFonts w:ascii="Carlito" w:hAnsi="Carlito" w:eastAsia="Carlito" w:cs="Carlito"/>
          <w:sz w:val="22"/>
        </w:rPr>
        <w:t xml:space="preserve">The review audience changes, the reporting measures change, or the preparation cost exceeds one hour per team.</w:t>
      </w:r>
    </w:p>
    <w:sectPr w:rsidR="96E4A84E">
      <w:pgSz w:w="12240" w:h="15840" w:code="1"/>
      <w:pgMar w:top="1440" w:right="1440" w:bottom="1440" w:left="1440" w:header="720" w:footer="720" w:gutter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28F1" w:rsidP="00EC28F1" w:rsidRDefault="00EC28F1" w14:paraId="13FE0CF9" w14:textId="77777777">
      <w:pPr>
        <w:spacing w:after="0" w:line="240" w:lineRule="auto"/>
      </w:pPr>
      <w:r>
        <w:separator/>
      </w:r>
    </w:p>
  </w:footnote>
  <w:footnote w:type="continuationSeparator" w:id="0">
    <w:p w:rsidR="00EC28F1" w:rsidP="00EC28F1" w:rsidRDefault="00EC28F1" w14:paraId="60AD3AEF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AA"/>
    <w:rsid w:val="002D4FAA"/>
    <w:rsid w:val="006B3CD0"/>
    <w:rsid w:val="00767C75"/>
    <w:rsid w:val="00902D87"/>
    <w:rsid w:val="00E41DA3"/>
    <w:rsid w:val="00E82D66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18C6"/>
  <w15:chartTrackingRefBased/>
  <w15:docId w15:val="{4B1E9AE4-A62B-439B-84E0-F60BAA50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rlito" w:hAnsi="Carlito" w:eastAsia="Carlito" w:cs="Carlito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652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1">
    <w:name w:val="Plain Table 1"/>
    <w:basedOn w:val="TableNormal"/>
    <w:uiPriority w:val="41"/>
    <w:rsid w:val="0086528E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6528E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2" w:space="0"/>
        <w:bottom w:val="single" w:color="FFD966" w:themeColor="accent4" w:themeTint="99" w:sz="2" w:space="0"/>
        <w:insideH w:val="single" w:color="FFD966" w:themeColor="accent4" w:themeTint="99" w:sz="2" w:space="0"/>
        <w:insideV w:val="single" w:color="FFD966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FD966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2" w:space="0"/>
        <w:bottom w:val="single" w:color="9CC2E5" w:themeColor="accent5" w:themeTint="99" w:sz="2" w:space="0"/>
        <w:insideH w:val="single" w:color="9CC2E5" w:themeColor="accent5" w:themeTint="99" w:sz="2" w:space="0"/>
        <w:insideV w:val="single" w:color="9CC2E5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">
    <w:name w:val="Grid Table 3 Accent 1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3-Accent2">
    <w:name w:val="Grid Table 3 Accent 2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3-Accent3">
    <w:name w:val="Grid Table 3 Accent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3-Accent4">
    <w:name w:val="Grid Table 3 Accent 4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3-Accent5">
    <w:name w:val="Grid Table 3 Accent 5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3-Accent6">
    <w:name w:val="Grid Table 3 Accent 6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GridTable4">
    <w:name w:val="Grid Table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ListTable1Light">
    <w:name w:val="List Table 1 Light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EAADB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9C9C9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FD966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bottom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bottom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bottom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bottom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tblPr/>
      <w:tcPr>
        <w:tcBorders>
          <w:top w:val="single" w:color="4472C4" w:themeColor="accent1" w:sz="4" w:space="0"/>
          <w:bottom w:val="single" w:color="4472C4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1" w:sz="4" w:space="0"/>
          <w:left w:val="nil"/>
        </w:tcBorders>
      </w:tcPr>
    </w:tblStylePr>
    <w:tblStylePr w:type="swCell">
      <w:tblPr/>
      <w:tcPr>
        <w:tcBorders>
          <w:top w:val="double" w:color="4472C4" w:themeColor="accent1" w:sz="4" w:space="0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blPr/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D7D31" w:themeColor="accent2" w:sz="4" w:space="0"/>
          <w:left w:val="nil"/>
        </w:tcBorders>
      </w:tcPr>
    </w:tblStylePr>
    <w:tblStylePr w:type="swCell">
      <w:tblPr/>
      <w:tcPr>
        <w:tcBorders>
          <w:top w:val="double" w:color="ED7D31" w:themeColor="accent2" w:sz="4" w:space="0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blPr/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C000" w:themeColor="accent4" w:sz="4" w:space="0"/>
          <w:left w:val="nil"/>
        </w:tcBorders>
      </w:tcPr>
    </w:tblStylePr>
    <w:tblStylePr w:type="swCell">
      <w:tblPr/>
      <w:tcPr>
        <w:tcBorders>
          <w:top w:val="double" w:color="FFC000" w:themeColor="accent4" w:sz="4" w:space="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1Horz">
      <w:tblPr/>
      <w:tcPr>
        <w:tcBorders>
          <w:top w:val="single" w:color="5B9BD5" w:themeColor="accent5" w:sz="4" w:space="0"/>
          <w:bottom w:val="single" w:color="5B9BD5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5" w:sz="4" w:space="0"/>
          <w:left w:val="nil"/>
        </w:tcBorders>
      </w:tcPr>
    </w:tblStylePr>
    <w:tblStylePr w:type="swCell">
      <w:tblPr/>
      <w:tcPr>
        <w:tcBorders>
          <w:top w:val="double" w:color="5B9BD5" w:themeColor="accent5" w:sz="4" w:space="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blPr/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0AD47" w:themeColor="accent6" w:sz="4" w:space="0"/>
          <w:left w:val="nil"/>
        </w:tcBorders>
      </w:tcPr>
    </w:tblStylePr>
    <w:tblStylePr w:type="swCell">
      <w:tblPr/>
      <w:tcPr>
        <w:tcBorders>
          <w:top w:val="double" w:color="70AD47" w:themeColor="accent6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472C4" w:themeColor="accent1" w:sz="24" w:space="0"/>
        <w:left w:val="single" w:color="4472C4" w:themeColor="accent1" w:sz="24" w:space="0"/>
        <w:bottom w:val="single" w:color="4472C4" w:themeColor="accent1" w:sz="24" w:space="0"/>
        <w:right w:val="single" w:color="4472C4" w:themeColor="accent1" w:sz="24" w:space="0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5B9BD5" w:themeColor="accent5" w:sz="24" w:space="0"/>
        <w:left w:val="single" w:color="5B9BD5" w:themeColor="accent5" w:sz="24" w:space="0"/>
        <w:bottom w:val="single" w:color="5B9BD5" w:themeColor="accent5" w:sz="24" w:space="0"/>
        <w:right w:val="single" w:color="5B9BD5" w:themeColor="accent5" w:sz="24" w:space="0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5B9BD5" w:themeColor="accent5" w:sz="4" w:space="0"/>
        <w:bottom w:val="single" w:color="5B9BD5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5B9BD5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472C4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472C4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472C4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472C4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5B9BD5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5B9BD5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5B9BD5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5B9BD5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C6F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C6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ED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ED2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ED2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ED2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ED2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ED2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ED2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353172"/>
    <w:pPr>
      <w:ind w:left="720"/>
      <w:contextualSpacing/>
    </w:pPr>
  </w:style>
  <w:style w:type="character" w:styleId="DefaultParagraphFont" w:default="true">
    <w:name w:val="Default Paragraph Font"/>
    <w:uiPriority w:val="1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700ED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true">
    <w:name w:val="Heading 2 Char"/>
    <w:basedOn w:val="DefaultParagraphFont"/>
    <w:link w:val="Heading2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eading4Char" w:customStyle="true">
    <w:name w:val="Heading 4 Char"/>
    <w:basedOn w:val="DefaultParagraphFont"/>
    <w:link w:val="Heading4"/>
    <w:uiPriority w:val="9"/>
    <w:semiHidden/>
    <w:rsid w:val="00700ED2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Heading5Char" w:customStyle="true">
    <w:name w:val="Heading 5 Char"/>
    <w:basedOn w:val="DefaultParagraphFont"/>
    <w:link w:val="Heading5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</w:rPr>
  </w:style>
  <w:style w:type="character" w:styleId="Heading6Char" w:customStyle="true">
    <w:name w:val="Heading 6 Char"/>
    <w:basedOn w:val="DefaultParagraphFont"/>
    <w:link w:val="Heading6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7Char" w:customStyle="true">
    <w:name w:val="Heading 7 Char"/>
    <w:basedOn w:val="DefaultParagraphFont"/>
    <w:link w:val="Heading7"/>
    <w:uiPriority w:val="9"/>
    <w:semiHidden/>
    <w:rsid w:val="00700ED2"/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character" w:styleId="Heading8Char" w:customStyle="true">
    <w:name w:val="Heading 8 Char"/>
    <w:basedOn w:val="DefaultParagraphFont"/>
    <w:link w:val="Heading8"/>
    <w:uiPriority w:val="9"/>
    <w:semiHidden/>
    <w:rsid w:val="00700ED2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true">
    <w:name w:val="Heading 9 Char"/>
    <w:basedOn w:val="DefaultParagraphFont"/>
    <w:link w:val="Heading9"/>
    <w:uiPriority w:val="9"/>
    <w:semiHidden/>
    <w:rsid w:val="00700ED2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numbering" w:styleId="NoList" w:default="true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true">
    <w:name w:val="Header Char"/>
    <w:basedOn w:val="DefaultParagraphFont"/>
    <w:link w:val="Header"/>
    <w:uiPriority w:val="99"/>
    <w:rsid w:val="00EC28F1"/>
  </w:style>
  <w:style w:type="paragraph" w:styleId="Footer">
    <w:name w:val="footer"/>
    <w:basedOn w:val="Normal"/>
    <w:link w:val="Foot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true">
    <w:name w:val="Footer Char"/>
    <w:basedOn w:val="DefaultParagraphFont"/>
    <w:link w:val="Footer"/>
    <w:uiPriority w:val="99"/>
    <w:rsid w:val="00EC28F1"/>
  </w:style>
  <w:style w:type="paragraph" w:styleId="FootnoteText">
    <w:name w:val="footnote text"/>
    <w:basedOn w:val="Normal"/>
    <w:link w:val="Foot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FootnoteTextChar" w:customStyle="true">
    <w:name w:val="Footnote Text Char"/>
    <w:basedOn w:val="DefaultParagraphFont"/>
    <w:link w:val="FootnoteText"/>
    <w:uiPriority w:val="99"/>
    <w:semiHidden/>
    <w:rsid w:val="00EC28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28F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EndnoteTextChar" w:customStyle="true">
    <w:name w:val="Endnote Text Char"/>
    <w:basedOn w:val="DefaultParagraphFont"/>
    <w:link w:val="EndnoteText"/>
    <w:uiPriority w:val="99"/>
    <w:semiHidden/>
    <w:rsid w:val="00EC28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C28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
<Relationships xmlns="http://schemas.openxmlformats.org/package/2006/relationships">
  <Relationship Type="http://schemas.openxmlformats.org/officeDocument/2006/relationships/styles" Target="styles.xml" Id="rId1" />
  <Relationship Type="http://schemas.openxmlformats.org/officeDocument/2006/relationships/webSettings" Target="webSettings.xml" Id="rId3" />
  <Relationship Type="http://schemas.openxmlformats.org/officeDocument/2006/relationships/settings" Target="settings.xml" Id="rId2" />
  <Relationship Type="http://schemas.openxmlformats.org/officeDocument/2006/relationships/endnotes" Target="endnotes.xml" Id="rId4" />
  <Relationship Type="http://schemas.openxmlformats.org/officeDocument/2006/relationships/footnotes" Target="footnotes.xml" Id="rId5" />
  <Relationship Type="http://schemas.openxmlformats.org/officeDocument/2006/relationships/fontTable" Target="fontTable.xml" Id="rId6" />
  <Relationship Type="http://schemas.openxmlformats.org/officeDocument/2006/relationships/theme" Target="theme/theme1.xml" Id="rId7" />
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