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16610d1c07064dec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180"/>
      </w:pPr>
      <w:r>
        <w:rPr>
          <w:rFonts w:ascii="Carlito" w:hAnsi="Carlito" w:eastAsia="Carlito" w:cs="Carlito"/>
          <w:sz w:val="52"/>
        </w:rPr>
        <w:t xml:space="preserve">Supplier evaluation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NORTHWIND / PROCUREMENT / ILLUSTRATIVE OPTIONS</w:t>
      </w:r>
    </w:p>
    <w:p>
      <w:pPr>
        <w:pStyle w:val="Heading2"/>
        <w:spacing w:after="180"/>
      </w:pPr>
      <w:r>
        <w:rPr>
          <w:rFonts w:ascii="Carlito" w:hAnsi="Carlito" w:eastAsia="Carlito" w:cs="Carlito"/>
          <w:sz w:val="30"/>
        </w:rPr>
        <w:t xml:space="preserve">Decision to make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Choose a support platform for a 25-person operations team. The selected service must support clear ownership, exportable records and a tested recovery process.</w:t>
      </w:r>
    </w:p>
    <w:p>
      <w:pPr>
        <w:pStyle w:val="Heading2"/>
        <w:spacing w:after="180"/>
      </w:pPr>
      <w:r>
        <w:rPr>
          <w:rFonts w:ascii="Carlito" w:hAnsi="Carlito" w:eastAsia="Carlito" w:cs="Carlito"/>
          <w:sz w:val="30"/>
        </w:rPr>
        <w:t xml:space="preserve">Evaluation approach</w:t>
      </w:r>
    </w:p>
    <w:p>
      <w:pPr>
        <w:pStyle w:val="ListParagraph"/>
        <w:numPr>
          <w:ilvl w:val="0"/>
          <w:numId w:val="1"/>
        </w:numPr>
        <w:spacing w:after="180"/>
      </w:pPr>
      <w:r>
        <w:rPr>
          <w:rFonts w:ascii="Carlito" w:hAnsi="Carlito" w:eastAsia="Carlito" w:cs="Carlito"/>
          <w:sz w:val="22"/>
        </w:rPr>
        <w:t xml:space="preserve">Demonstrate the same request journey with every supplier.</w:t>
      </w:r>
    </w:p>
    <w:p>
      <w:pPr>
        <w:pStyle w:val="ListParagraph"/>
        <w:numPr>
          <w:ilvl w:val="0"/>
          <w:numId w:val="1"/>
        </w:numPr>
        <w:spacing w:after="180"/>
      </w:pPr>
      <w:r>
        <w:rPr>
          <w:rFonts w:ascii="Carlito" w:hAnsi="Carlito" w:eastAsia="Carlito" w:cs="Carlito"/>
          <w:sz w:val="22"/>
        </w:rPr>
        <w:t xml:space="preserve">Record evidence separately from claims made during the demonstration.</w:t>
      </w:r>
    </w:p>
    <w:p>
      <w:pPr>
        <w:pStyle w:val="ListParagraph"/>
        <w:numPr>
          <w:ilvl w:val="0"/>
          <w:numId w:val="1"/>
        </w:numPr>
        <w:spacing w:after="180"/>
      </w:pPr>
      <w:r>
        <w:rPr>
          <w:rFonts w:ascii="Carlito" w:hAnsi="Carlito" w:eastAsia="Carlito" w:cs="Carlito"/>
          <w:sz w:val="22"/>
        </w:rPr>
        <w:t xml:space="preserve">Keep unresolved questions visible before signing.</w:t>
      </w:r>
    </w:p>
    <w:p>
      <w:pPr>
        <w:pStyle w:val="Heading2"/>
        <w:spacing w:after="180"/>
      </w:pPr>
      <w:r>
        <w:rPr>
          <w:rFonts w:ascii="Carlito" w:hAnsi="Carlito" w:eastAsia="Carlito" w:cs="Carlito"/>
          <w:sz w:val="30"/>
        </w:rPr>
        <w:t xml:space="preserve">Recommendation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Take Cedar to a controlled pilot. Confirm export completeness and escalation coverage before making a final selection.</w:t>
      </w:r>
    </w:p>
    <w:p>
      <w:pPr>
        <w:sectPr w:rsidR="A464B398">
          <w:pgSz w:w="12240" w:h="15840" w:code="1"/>
          <w:pgMar w:top="1440" w:right="1440" w:bottom="1440" w:left="1440" w:header="720" w:footer="720" w:gutter="0"/>
        </w:sectPr>
      </w:pPr>
    </w:p>
    <w:p>
      <w:pPr>
        <w:pStyle w:val="Heading1"/>
        <w:spacing w:after="180"/>
      </w:pPr>
      <w:r>
        <w:rPr>
          <w:rFonts w:ascii="Carlito" w:hAnsi="Carlito" w:eastAsia="Carlito" w:cs="Carlito"/>
          <w:sz w:val="52"/>
        </w:rPr>
        <w:t xml:space="preserve">Evidence comparison</w:t>
      </w:r>
    </w:p>
    <w:p>
      <w:pPr>
        <w:spacing w:after="180"/>
      </w:pPr>
      <w:r>
        <w:rPr>
          <w:rFonts w:ascii="Carlito" w:hAnsi="Carlito" w:eastAsia="Carlito" w:cs="Carlito"/>
          <w:sz w:val="22"/>
        </w:rPr>
        <w:t xml:space="preserve">A landscape section gives each criterion enough room for a useful explanation.</w:t>
      </w:r>
    </w:p>
    <w:tbl>
      <w:tblPr>
        <w:tblStyle w:val="TableGrid"/>
        <w:tblW w:w="5000" w:type="pct"/>
        <w:tblLayout w:type="fixed"/>
        <w:tblLook w:val="04A0"/>
      </w:tblPr>
      <w:tblGrid>
        <w:gridCol w:w="1555"/>
        <w:gridCol w:w="3110"/>
        <w:gridCol w:w="2851"/>
        <w:gridCol w:w="2851"/>
        <w:gridCol w:w="2593"/>
      </w:tblGrid>
      <w:tr>
        <w:tc>
          <w:tcPr>
            <w:tcW w:w="600" w:type="pct"/>
            <w:shd w:val="clear" w:fill="E8EEF8"/>
            <w:tcMar>
              <w:top w:w="85" w:type="dxa"/>
              <w:bottom w:w="85" w:type="dxa"/>
            </w:tcMar>
          </w:tcPr>
          <w:p>
            <w:pPr/>
            <w:r>
              <w:rPr>
                <w:b/>
                <w:bCs/>
              </w:rPr>
              <w:t xml:space="preserve">Option</w:t>
            </w:r>
          </w:p>
        </w:tc>
        <w:tc>
          <w:tcPr>
            <w:tcW w:w="1200" w:type="pct"/>
            <w:shd w:val="clear" w:fill="E8EEF8"/>
            <w:tcMar>
              <w:top w:w="85" w:type="dxa"/>
              <w:bottom w:w="85" w:type="dxa"/>
            </w:tcMar>
          </w:tcPr>
          <w:p>
            <w:pPr/>
            <w:r>
              <w:rPr>
                <w:b/>
                <w:bCs/>
              </w:rPr>
              <w:t xml:space="preserve">Request ownership</w:t>
            </w:r>
          </w:p>
        </w:tc>
        <w:tc>
          <w:tcPr>
            <w:tcW w:w="1100" w:type="pct"/>
            <w:shd w:val="clear" w:fill="E8EEF8"/>
            <w:tcMar>
              <w:top w:w="85" w:type="dxa"/>
              <w:bottom w:w="85" w:type="dxa"/>
            </w:tcMar>
          </w:tcPr>
          <w:p>
            <w:pPr/>
            <w:r>
              <w:rPr>
                <w:b/>
                <w:bCs/>
              </w:rPr>
              <w:t xml:space="preserve">Data export</w:t>
            </w:r>
          </w:p>
        </w:tc>
        <w:tc>
          <w:tcPr>
            <w:tcW w:w="1100" w:type="pct"/>
            <w:shd w:val="clear" w:fill="E8EEF8"/>
            <w:tcMar>
              <w:top w:w="85" w:type="dxa"/>
              <w:bottom w:w="85" w:type="dxa"/>
            </w:tcMar>
          </w:tcPr>
          <w:p>
            <w:pPr/>
            <w:r>
              <w:rPr>
                <w:b/>
                <w:bCs/>
              </w:rPr>
              <w:t xml:space="preserve">Recovery evidence</w:t>
            </w:r>
          </w:p>
        </w:tc>
        <w:tc>
          <w:tcPr>
            <w:tcW w:w="1000" w:type="pct"/>
            <w:shd w:val="clear" w:fill="E8EEF8"/>
            <w:tcMar>
              <w:top w:w="85" w:type="dxa"/>
              <w:bottom w:w="85" w:type="dxa"/>
            </w:tcMar>
          </w:tcPr>
          <w:p>
            <w:pPr/>
            <w:r>
              <w:rPr>
                <w:b/>
                <w:bCs/>
              </w:rPr>
              <w:t xml:space="preserve">Commercial question</w:t>
            </w:r>
          </w:p>
        </w:tc>
      </w:tr>
      <w:tr>
        <w:tc>
          <w:tcPr>
            <w:tcW w:w="6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Cedar</w:t>
            </w:r>
          </w:p>
        </w:tc>
        <w:tc>
          <w:tcPr>
            <w:tcW w:w="12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Named owner and queue history shown</w:t>
            </w:r>
          </w:p>
        </w:tc>
        <w:tc>
          <w:tcPr>
            <w:tcW w:w="11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CSV and attachment export demonstrated</w:t>
            </w:r>
          </w:p>
        </w:tc>
        <w:tc>
          <w:tcPr>
            <w:tcW w:w="11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Restore exercise supplied</w:t>
            </w:r>
          </w:p>
        </w:tc>
        <w:tc>
          <w:tcPr>
            <w:tcW w:w="10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Confirm support response window</w:t>
            </w:r>
          </w:p>
        </w:tc>
      </w:tr>
      <w:tr>
        <w:tc>
          <w:tcPr>
            <w:tcW w:w="6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Birch</w:t>
            </w:r>
          </w:p>
        </w:tc>
        <w:tc>
          <w:tcPr>
            <w:tcW w:w="12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Queue ownership shown; individual handoff unclear</w:t>
            </w:r>
          </w:p>
        </w:tc>
        <w:tc>
          <w:tcPr>
            <w:tcW w:w="11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CSV shown; attachments untested</w:t>
            </w:r>
          </w:p>
        </w:tc>
        <w:tc>
          <w:tcPr>
            <w:tcW w:w="11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Procedure supplied; exercise pending</w:t>
            </w:r>
          </w:p>
        </w:tc>
        <w:tc>
          <w:tcPr>
            <w:tcW w:w="10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Confirm annual uplift</w:t>
            </w:r>
          </w:p>
        </w:tc>
      </w:tr>
      <w:tr>
        <w:tc>
          <w:tcPr>
            <w:tcW w:w="6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Maple</w:t>
            </w:r>
          </w:p>
        </w:tc>
        <w:tc>
          <w:tcPr>
            <w:tcW w:w="12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Ownership and escalation demonstrated</w:t>
            </w:r>
          </w:p>
        </w:tc>
        <w:tc>
          <w:tcPr>
            <w:tcW w:w="11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Full export pending pilot</w:t>
            </w:r>
          </w:p>
        </w:tc>
        <w:tc>
          <w:tcPr>
            <w:tcW w:w="11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Restore exercise supplied</w:t>
            </w:r>
          </w:p>
        </w:tc>
        <w:tc>
          <w:tcPr>
            <w:tcW w:w="1000" w:type="pct"/>
            <w:tcMar>
              <w:top w:w="85" w:type="dxa"/>
              <w:bottom w:w="85" w:type="dxa"/>
            </w:tcMar>
          </w:tcPr>
          <w:p>
            <w:pPr/>
            <w:r>
              <w:rPr/>
              <w:t xml:space="preserve">Confirm exit assistance</w:t>
            </w:r>
          </w:p>
        </w:tc>
      </w:tr>
    </w:tbl>
    <w:sectPr w:rsidR="96D567C9">
      <w:pgSz w:w="15840" w:h="12240" w:orient="landscape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5E64B9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0eeadf0684cc49f1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