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smdcp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b62dafef480e45b0" />
  <Relationship Type="http://schemas.openxmlformats.org/package/2006/relationships/metadata/core-properties" Target="package/services/metadata/core-properties/d16e7a926082420f9167a29e2fc8b927.psmdcp" Id="R3e1f43177ee24e97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  <w:spacing w:after="240"/>
      </w:pPr>
      <w:r>
        <w:rPr>
          <w:rFonts w:ascii="Carlito" w:hAnsi="Carlito" w:eastAsia="Carlito" w:cs="Carlito"/>
          <w:b/>
          <w:bCs/>
          <w:sz w:val="52"/>
        </w:rPr>
        <w:t xml:space="preserve">Project charter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NORTHWIND / CUSTOMER PORTAL / VERSION 1.0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Give the delivery team one agreed reference for the outcome, scope, and acceptance decision.</w:t>
      </w:r>
    </w:p>
    <w:p>
      <w:pPr>
        <w:pStyle w:val="Heading2"/>
        <w:spacing w:before="240" w:after="120"/>
      </w:pPr>
      <w:r>
        <w:rPr>
          <w:rFonts w:ascii="Carlito" w:hAnsi="Carlito" w:eastAsia="Carlito" w:cs="Carlito"/>
          <w:b/>
          <w:bCs/>
          <w:sz w:val="30"/>
        </w:rPr>
        <w:t xml:space="preserve">Outcome and boundaries</w:t>
      </w:r>
      <w:bookmarkStart w:name="Scope" w:id="1"/>
      <w:bookmarkEnd w:id="1"/>
      <w:r>
        <w:rPr>
          <w:rFonts w:ascii="Carlito" w:hAnsi="Carlito" w:eastAsia="Carlito" w:cs="Carlito"/>
          <w:b/>
          <w:bCs/>
          <w:sz w:val="30"/>
        </w:rPr>
      </w:r>
    </w:p>
    <w:p>
      <w:pPr>
        <w:pStyle w:val="ListParagraph"/>
        <w:numPr>
          <w:ilvl w:val="0"/>
          <w:numId w:val="1"/>
        </w:numPr>
        <w:spacing w:after="140"/>
      </w:pPr>
      <w:r>
        <w:rPr>
          <w:rFonts w:ascii="Carlito" w:hAnsi="Carlito" w:eastAsia="Carlito" w:cs="Carlito"/>
          <w:sz w:val="22"/>
        </w:rPr>
        <w:t xml:space="preserve">Provide a single place to submit and track service requests.</w:t>
      </w:r>
    </w:p>
    <w:p>
      <w:pPr>
        <w:pStyle w:val="ListParagraph"/>
        <w:numPr>
          <w:ilvl w:val="0"/>
          <w:numId w:val="1"/>
        </w:numPr>
        <w:spacing w:after="140"/>
      </w:pPr>
      <w:r>
        <w:rPr>
          <w:rFonts w:ascii="Carlito" w:hAnsi="Carlito" w:eastAsia="Carlito" w:cs="Carlito"/>
          <w:sz w:val="22"/>
        </w:rPr>
        <w:t xml:space="preserve">Include request history and a clear escalation path.</w:t>
      </w:r>
    </w:p>
    <w:p>
      <w:pPr>
        <w:pStyle w:val="ListParagraph"/>
        <w:numPr>
          <w:ilvl w:val="0"/>
          <w:numId w:val="1"/>
        </w:numPr>
        <w:spacing w:after="140"/>
      </w:pPr>
      <w:r>
        <w:rPr>
          <w:rFonts w:ascii="Carlito" w:hAnsi="Carlito" w:eastAsia="Carlito" w:cs="Carlito"/>
          <w:sz w:val="22"/>
        </w:rPr>
        <w:t xml:space="preserve">Keep billing and account administration outside this release.</w:t>
      </w:r>
    </w:p>
    <w:p>
      <w:pPr>
        <w:pStyle w:val="Heading2"/>
        <w:spacing w:before="240" w:after="120"/>
      </w:pPr>
      <w:r>
        <w:rPr>
          <w:rFonts w:ascii="Carlito" w:hAnsi="Carlito" w:eastAsia="Carlito" w:cs="Carlito"/>
          <w:b/>
          <w:bCs/>
          <w:sz w:val="30"/>
        </w:rPr>
        <w:t xml:space="preserve">Delivery milestones</w:t>
      </w:r>
    </w:p>
    <w:tbl>
      <w:tblPr>
        <w:tblStyle w:val="TableGrid"/>
        <w:tblW w:w="5000" w:type="pct"/>
        <w:tblLayout w:type="fixed"/>
        <w:tblLook w:val="04A0"/>
      </w:tblPr>
      <w:tblGrid>
        <w:gridCol w:w="2340"/>
        <w:gridCol w:w="2059"/>
        <w:gridCol w:w="4961"/>
      </w:tblGrid>
      <w:tr>
        <w:tc>
          <w:tcPr>
            <w:tcW w:w="1250" w:type="pct"/>
            <w:shd w:val="clear" w:fill="E8EEF8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Milestone</w:t>
            </w:r>
          </w:p>
        </w:tc>
        <w:tc>
          <w:tcPr>
            <w:tcW w:w="1100" w:type="pct"/>
            <w:shd w:val="clear" w:fill="E8EEF8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Owner</w:t>
            </w:r>
          </w:p>
        </w:tc>
        <w:tc>
          <w:tcPr>
            <w:tcW w:w="2650" w:type="pct"/>
            <w:shd w:val="clear" w:fill="E8EEF8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b/>
                <w:bCs/>
                <w:sz w:val="22"/>
              </w:rPr>
              <w:t xml:space="preserve">Acceptance evidence</w:t>
            </w:r>
          </w:p>
        </w:tc>
      </w:tr>
      <w:tr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Discovery</w:t>
            </w:r>
          </w:p>
        </w:tc>
        <w:tc>
          <w:tcPr>
            <w:tcW w:w="11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Product</w:t>
            </w:r>
          </w:p>
        </w:tc>
        <w:tc>
          <w:tcPr>
            <w:tcW w:w="26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Reviewed service journey</w:t>
            </w:r>
          </w:p>
        </w:tc>
      </w:tr>
      <w:tr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Pilot</w:t>
            </w:r>
          </w:p>
        </w:tc>
        <w:tc>
          <w:tcPr>
            <w:tcW w:w="11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Engineering</w:t>
            </w:r>
          </w:p>
        </w:tc>
        <w:tc>
          <w:tcPr>
            <w:tcW w:w="26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Ten completed pilot requests</w:t>
            </w:r>
          </w:p>
        </w:tc>
      </w:tr>
      <w:tr>
        <w:tc>
          <w:tcPr>
            <w:tcW w:w="12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Launch</w:t>
            </w:r>
          </w:p>
        </w:tc>
        <w:tc>
          <w:tcPr>
            <w:tcW w:w="110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Operations</w:t>
            </w:r>
          </w:p>
        </w:tc>
        <w:tc>
          <w:tcPr>
            <w:tcW w:w="2650" w:type="pct"/>
            <w:tcMar>
              <w:top w:w="57" w:type="dxa"/>
              <w:bottom w:w="57" w:type="dxa"/>
            </w:tcMar>
          </w:tcPr>
          <w:p>
            <w:pPr>
              <w:spacing w:after="60"/>
            </w:pPr>
            <w:r>
              <w:rPr>
                <w:rFonts w:ascii="Carlito" w:hAnsi="Carlito" w:eastAsia="Carlito" w:cs="Carlito"/>
                <w:sz w:val="22"/>
              </w:rPr>
              <w:t xml:space="preserve">Support and recovery walkthrough</w:t>
            </w:r>
          </w:p>
        </w:tc>
      </w:tr>
    </w:tbl>
    <w:p>
      <w:pPr>
        <w:pStyle w:val="Heading2"/>
        <w:spacing w:before="240" w:after="120"/>
      </w:pPr>
      <w:r>
        <w:rPr>
          <w:rFonts w:ascii="Carlito" w:hAnsi="Carlito" w:eastAsia="Carlito" w:cs="Carlito"/>
          <w:b/>
          <w:bCs/>
          <w:sz w:val="30"/>
        </w:rPr>
        <w:t xml:space="preserve">Success measure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At least 90% of pilot requests reach the right team without manual reassignment.</w:t>
      </w:r>
    </w:p>
    <w:sectPr w:rsidR="96E4A84E"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94780"/>
    <w:multiLevelType w:val="hybridMultilevel"/>
    <w:tmpl w:val="934E79A6"/>
    <w:lvl w:ilvl="0" w:tplc="04090001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tru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tru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/>
      </w:rPr>
    </w:lvl>
    <w:lvl w:ilvl="4" w:tplc="0409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tru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tru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/>
      </w:rPr>
    </w:lvl>
    <w:lvl w:ilvl="7" w:tplc="0409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tru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hAnsi="Carlito" w:eastAsia="Carlito" w:cs="Carlito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  <Relationship Type="http://schemas.openxmlformats.org/officeDocument/2006/relationships/numbering" Target="numbering.xml" Id="R852ac43c8f2d4da2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