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smdcp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dc91af3c11ef4b30" />
  <Relationship Type="http://schemas.openxmlformats.org/package/2006/relationships/metadata/core-properties" Target="package/services/metadata/core-properties/2799862fc39247f9b80a3068c64cf12f.psmdcp" Id="R6146a59fee5a4918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  <w:keepNext/>
        <w:spacing w:before="0" w:after="280"/>
      </w:pPr>
      <w:r>
        <w:rPr>
          <w:rFonts w:ascii="Carlito" w:hAnsi="Carlito" w:eastAsia="Carlito" w:cs="Carlito"/>
          <w:b/>
          <w:bCs/>
          <w:color w:val="17365D"/>
          <w:sz w:val="52"/>
        </w:rPr>
        <w:t xml:space="preserve">Managed service renewal</w:t>
      </w:r>
    </w:p>
    <w:p>
      <w:pPr>
        <w:spacing w:before="0" w:after="140"/>
      </w:pPr>
      <w:r>
        <w:rPr>
          <w:rFonts w:ascii="Carlito" w:hAnsi="Carlito" w:eastAsia="Carlito" w:cs="Carlito"/>
          <w:sz w:val="22"/>
        </w:rPr>
        <w:t xml:space="preserve">NORTHWIND / RENEWAL 2027 / DRAFT COMMERCIAL TERMS</w:t>
      </w:r>
    </w:p>
    <w:p>
      <w:pPr>
        <w:spacing w:before="0" w:after="140"/>
      </w:pPr>
      <w:r>
        <w:rPr>
          <w:rFonts w:ascii="Carlito" w:hAnsi="Carlito" w:eastAsia="Carlito" w:cs="Carlito"/>
          <w:sz w:val="22"/>
        </w:rPr>
        <w:t xml:space="preserve">Review the service commitments before renewing. This proposal keeps scope, price and the acceptance decision together.</w:t>
      </w:r>
    </w:p>
    <w:p>
      <w:pPr>
        <w:pStyle w:val="Heading2"/>
        <w:keepNext/>
        <w:spacing w:before="280" w:after="160"/>
      </w:pPr>
      <w:r>
        <w:rPr>
          <w:rFonts w:ascii="Carlito" w:hAnsi="Carlito" w:eastAsia="Carlito" w:cs="Carlito"/>
          <w:b/>
          <w:bCs/>
          <w:color w:val="17365D"/>
          <w:sz w:val="30"/>
        </w:rPr>
        <w:t xml:space="preserve">Service commitments</w:t>
      </w:r>
    </w:p>
    <w:tbl>
      <w:tblPr>
        <w:tblStyle w:val="TableGrid"/>
        <w:tblW w:w="5000" w:type="pct"/>
        <w:tblLayout w:type="fixed"/>
        <w:tblLook w:val="04A0"/>
      </w:tblPr>
      <w:tblGrid>
        <w:gridCol w:w="2340"/>
        <w:gridCol w:w="1872"/>
        <w:gridCol w:w="2808"/>
        <w:gridCol w:w="2340"/>
      </w:tblGrid>
      <w:tr>
        <w:tc>
          <w:tcPr>
            <w:tcW w:w="1250" w:type="pct"/>
            <w:shd w:val="clear" w:fill="17365D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b/>
                <w:bCs/>
                <w:color w:val="FFFFFF"/>
                <w:sz w:val="20"/>
              </w:rPr>
              <w:t xml:space="preserve">Service</w:t>
            </w:r>
          </w:p>
        </w:tc>
        <w:tc>
          <w:tcPr>
            <w:tcW w:w="1000" w:type="pct"/>
            <w:shd w:val="clear" w:fill="17365D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b/>
                <w:bCs/>
                <w:color w:val="FFFFFF"/>
                <w:sz w:val="20"/>
              </w:rPr>
              <w:t xml:space="preserve">Coverage</w:t>
            </w:r>
          </w:p>
        </w:tc>
        <w:tc>
          <w:tcPr>
            <w:tcW w:w="1500" w:type="pct"/>
            <w:shd w:val="clear" w:fill="17365D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b/>
                <w:bCs/>
                <w:color w:val="FFFFFF"/>
                <w:sz w:val="20"/>
              </w:rPr>
              <w:t xml:space="preserve">Monthly fee</w:t>
            </w:r>
          </w:p>
        </w:tc>
        <w:tc>
          <w:tcPr>
            <w:tcW w:w="1250" w:type="pct"/>
            <w:shd w:val="clear" w:fill="17365D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b/>
                <w:bCs/>
                <w:color w:val="FFFFFF"/>
                <w:sz w:val="20"/>
              </w:rPr>
              <w:t xml:space="preserve">Review evidence</w:t>
            </w:r>
          </w:p>
        </w:tc>
      </w:tr>
      <w:tr>
        <w:tc>
          <w:tcPr>
            <w:tcW w:w="125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Request desk</w:t>
            </w:r>
          </w:p>
        </w:tc>
        <w:tc>
          <w:tcPr>
            <w:tcW w:w="100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Business hours</w:t>
            </w:r>
          </w:p>
        </w:tc>
        <w:tc>
          <w:tcPr>
            <w:tcW w:w="150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EUR 2,400</w:t>
            </w:r>
          </w:p>
        </w:tc>
        <w:tc>
          <w:tcPr>
            <w:tcW w:w="125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Response-time report</w:t>
            </w:r>
          </w:p>
        </w:tc>
      </w:tr>
      <w:tr>
        <w:tc>
          <w:tcPr>
            <w:tcW w:w="125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Platform care</w:t>
            </w:r>
          </w:p>
        </w:tc>
        <w:tc>
          <w:tcPr>
            <w:tcW w:w="100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Weekly review</w:t>
            </w:r>
          </w:p>
        </w:tc>
        <w:tc>
          <w:tcPr>
            <w:tcW w:w="150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EUR 1,100</w:t>
            </w:r>
          </w:p>
        </w:tc>
        <w:tc>
          <w:tcPr>
            <w:tcW w:w="125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Change and incident log</w:t>
            </w:r>
          </w:p>
        </w:tc>
      </w:tr>
      <w:tr>
        <w:tc>
          <w:tcPr>
            <w:tcW w:w="125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Recovery exercise</w:t>
            </w:r>
          </w:p>
        </w:tc>
        <w:tc>
          <w:tcPr>
            <w:tcW w:w="100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Quarterly</w:t>
            </w:r>
          </w:p>
        </w:tc>
        <w:tc>
          <w:tcPr>
            <w:tcW w:w="150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EUR 600</w:t>
            </w:r>
          </w:p>
        </w:tc>
        <w:tc>
          <w:tcPr>
            <w:tcW w:w="125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Observed restore record</w:t>
            </w:r>
          </w:p>
        </w:tc>
      </w:tr>
    </w:tbl>
    <w:p>
      <w:pPr>
        <w:pStyle w:val="Heading2"/>
        <w:keepNext/>
        <w:spacing w:before="280" w:after="160"/>
      </w:pPr>
      <w:r>
        <w:rPr>
          <w:rFonts w:ascii="Carlito" w:hAnsi="Carlito" w:eastAsia="Carlito" w:cs="Carlito"/>
          <w:b/>
          <w:bCs/>
          <w:color w:val="17365D"/>
          <w:sz w:val="30"/>
        </w:rPr>
        <w:t xml:space="preserve">Term and exclusions</w:t>
      </w:r>
    </w:p>
    <w:p>
      <w:pPr>
        <w:spacing w:before="0" w:after="140"/>
      </w:pPr>
      <w:r>
        <w:rPr>
          <w:rFonts w:ascii="Carlito" w:hAnsi="Carlito" w:eastAsia="Carlito" w:cs="Carlito"/>
          <w:sz w:val="22"/>
        </w:rPr>
        <w:t xml:space="preserve">Proposed term: 1 January to 31 December 2027. Fees are illustrative, exclude tax and are subject to an agreed statement of work. Project delivery, emergency cover and third-party licence costs are excluded.</w:t>
      </w:r>
    </w:p>
    <w:p>
      <w:pPr>
        <w:pStyle w:val="Heading2"/>
        <w:keepNext/>
        <w:spacing w:before="280" w:after="160"/>
      </w:pPr>
      <w:r>
        <w:rPr>
          <w:rFonts w:ascii="Carlito" w:hAnsi="Carlito" w:eastAsia="Carlito" w:cs="Carlito"/>
          <w:b/>
          <w:bCs/>
          <w:color w:val="17365D"/>
          <w:sz w:val="30"/>
        </w:rPr>
        <w:t xml:space="preserve">Next actions</w:t>
      </w:r>
    </w:p>
    <w:p>
      <w:pPr>
        <w:pStyle w:val="ListParagraph"/>
        <w:numPr>
          <w:ilvl w:val="0"/>
          <w:numId w:val="1"/>
        </w:numPr>
        <w:spacing w:before="0" w:after="140"/>
      </w:pPr>
      <w:r>
        <w:rPr>
          <w:rFonts w:ascii="Carlito" w:hAnsi="Carlito" w:eastAsia="Carlito" w:cs="Carlito"/>
          <w:sz w:val="22"/>
        </w:rPr>
        <w:t xml:space="preserve">Service owner: confirm coverage hours and escalation contacts.</w:t>
      </w:r>
    </w:p>
    <w:p>
      <w:pPr>
        <w:pStyle w:val="ListParagraph"/>
        <w:numPr>
          <w:ilvl w:val="0"/>
          <w:numId w:val="1"/>
        </w:numPr>
        <w:spacing w:before="0" w:after="140"/>
      </w:pPr>
      <w:r>
        <w:rPr>
          <w:rFonts w:ascii="Carlito" w:hAnsi="Carlito" w:eastAsia="Carlito" w:cs="Carlito"/>
          <w:sz w:val="22"/>
        </w:rPr>
        <w:t xml:space="preserve">Procurement: review the renewal and notice periods.</w:t>
      </w:r>
    </w:p>
    <w:p>
      <w:pPr>
        <w:pStyle w:val="ListParagraph"/>
        <w:numPr>
          <w:ilvl w:val="0"/>
          <w:numId w:val="1"/>
        </w:numPr>
        <w:spacing w:before="0" w:after="140"/>
      </w:pPr>
      <w:r>
        <w:rPr>
          <w:rFonts w:ascii="Carlito" w:hAnsi="Carlito" w:eastAsia="Carlito" w:cs="Carlito"/>
          <w:sz w:val="22"/>
        </w:rPr>
        <w:t xml:space="preserve">Sponsor: record acceptance or request a revised scope.</w:t>
      </w:r>
    </w:p>
    <w:sectPr w:rsidR="16232EFE"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5EEA031"/>
    <w:multiLevelType w:val="hybridMultilevel"/>
    <w:tmpl w:val="934E79A6"/>
    <w:lvl w:ilvl="0" w:tplc="04090001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tru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tru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/>
      </w:rPr>
    </w:lvl>
    <w:lvl w:ilvl="4" w:tplc="0409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tru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tru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/>
      </w:rPr>
    </w:lvl>
    <w:lvl w:ilvl="7" w:tplc="0409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tru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hAnsi="Carlito" w:eastAsia="Carlito" w:cs="Carlito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numbering" Target="numbering.xml" Id="Rf14b107640bd4976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