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61edfe73586a4af1" />
  <Relationship Type="http://schemas.openxmlformats.org/package/2006/relationships/metadata/core-properties" Target="package/services/metadata/core-properties/4dd90ca236e7455b9623231a13f7fbb0.psmdcp" Id="R102b5d5f48044a39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keepNext/>
        <w:spacing w:before="0" w:after="280"/>
      </w:pPr>
      <w:r>
        <w:rPr>
          <w:rFonts w:ascii="Carlito" w:hAnsi="Carlito" w:eastAsia="Carlito" w:cs="Carlito"/>
          <w:b/>
          <w:bCs/>
          <w:color w:val="17365D"/>
          <w:sz w:val="52"/>
        </w:rPr>
        <w:t xml:space="preserve">Statement of work</w:t>
      </w:r>
    </w:p>
    <w:p>
      <w:pPr>
        <w:spacing w:before="0" w:after="140"/>
      </w:pPr>
      <w:r>
        <w:rPr>
          <w:rFonts w:ascii="Carlito" w:hAnsi="Carlito" w:eastAsia="Carlito" w:cs="Carlito"/>
          <w:sz w:val="22"/>
        </w:rPr>
        <w:t xml:space="preserve">NORTHWIND / DOCUMENT AUTOMATION / SOW-018</w:t>
      </w:r>
    </w:p>
    <w:p>
      <w:pPr>
        <w:spacing w:before="0" w:after="140"/>
      </w:pPr>
      <w:r>
        <w:rPr>
          <w:rFonts w:ascii="Carlito" w:hAnsi="Carlito" w:eastAsia="Carlito" w:cs="Carlito"/>
          <w:sz w:val="22"/>
        </w:rPr>
        <w:t xml:space="preserve">Deliver an editable reporting workflow with a clear boundary between implementation and acceptance. This example is a scope record, not a legal template.</w:t>
      </w:r>
    </w:p>
    <w:p>
      <w:pPr>
        <w:pStyle w:val="Heading2"/>
        <w:keepNext/>
        <w:spacing w:before="280" w:after="160"/>
      </w:pPr>
      <w:r>
        <w:rPr>
          <w:rFonts w:ascii="Carlito" w:hAnsi="Carlito" w:eastAsia="Carlito" w:cs="Carlito"/>
          <w:b/>
          <w:bCs/>
          <w:color w:val="17365D"/>
          <w:sz w:val="30"/>
        </w:rPr>
        <w:t xml:space="preserve">Deliverables and acceptance</w:t>
      </w:r>
    </w:p>
    <w:tbl>
      <w:tblPr>
        <w:tblStyle w:val="TableGrid"/>
        <w:tblW w:w="5000" w:type="pct"/>
        <w:tblLayout w:type="fixed"/>
        <w:tblLook w:val="04A0"/>
      </w:tblPr>
      <w:tblGrid>
        <w:gridCol w:w="2340"/>
        <w:gridCol w:w="1872"/>
        <w:gridCol w:w="2808"/>
        <w:gridCol w:w="2340"/>
      </w:tblGrid>
      <w:tr>
        <w:tc>
          <w:tcPr>
            <w:tcW w:w="125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Deliverable</w:t>
            </w:r>
          </w:p>
        </w:tc>
        <w:tc>
          <w:tcPr>
            <w:tcW w:w="100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Owner</w:t>
            </w:r>
          </w:p>
        </w:tc>
        <w:tc>
          <w:tcPr>
            <w:tcW w:w="150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Acceptance evidence</w:t>
            </w:r>
          </w:p>
        </w:tc>
        <w:tc>
          <w:tcPr>
            <w:tcW w:w="125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Target</w:t>
            </w:r>
          </w:p>
        </w:tc>
      </w:tr>
      <w:tr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Data mapping</w:t>
            </w:r>
          </w:p>
        </w:tc>
        <w:tc>
          <w:tcPr>
            <w:tcW w:w="10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Analyst</w:t>
            </w:r>
          </w:p>
        </w:tc>
        <w:tc>
          <w:tcPr>
            <w:tcW w:w="15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Five agreed sample records</w:t>
            </w:r>
          </w:p>
        </w:tc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Week 1</w:t>
            </w:r>
          </w:p>
        </w:tc>
      </w:tr>
      <w:tr>
        <w:tc>
          <w:tcPr>
            <w:tcW w:w="125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Report generator</w:t>
            </w:r>
          </w:p>
        </w:tc>
        <w:tc>
          <w:tcPr>
            <w:tcW w:w="100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Engineer</w:t>
            </w:r>
          </w:p>
        </w:tc>
        <w:tc>
          <w:tcPr>
            <w:tcW w:w="150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DOCX and PDF from each record</w:t>
            </w:r>
          </w:p>
        </w:tc>
        <w:tc>
          <w:tcPr>
            <w:tcW w:w="125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Week 3</w:t>
            </w:r>
          </w:p>
        </w:tc>
      </w:tr>
      <w:tr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Operator handover</w:t>
            </w:r>
          </w:p>
        </w:tc>
        <w:tc>
          <w:tcPr>
            <w:tcW w:w="10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Delivery lead</w:t>
            </w:r>
          </w:p>
        </w:tc>
        <w:tc>
          <w:tcPr>
            <w:tcW w:w="15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Owner completes an unaided run</w:t>
            </w:r>
          </w:p>
        </w:tc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Week 4</w:t>
            </w:r>
          </w:p>
        </w:tc>
      </w:tr>
    </w:tbl>
    <w:p>
      <w:pPr>
        <w:pStyle w:val="Heading2"/>
        <w:keepNext/>
        <w:spacing w:before="280" w:after="160"/>
      </w:pPr>
      <w:r>
        <w:rPr>
          <w:rFonts w:ascii="Carlito" w:hAnsi="Carlito" w:eastAsia="Carlito" w:cs="Carlito"/>
          <w:b/>
          <w:bCs/>
          <w:color w:val="17365D"/>
          <w:sz w:val="30"/>
        </w:rPr>
        <w:t xml:space="preserve">Scope and change control</w:t>
      </w:r>
    </w:p>
    <w:p>
      <w:pPr>
        <w:spacing w:before="0" w:after="140"/>
      </w:pPr>
      <w:r>
        <w:rPr>
          <w:rFonts w:ascii="Carlito" w:hAnsi="Carlito" w:eastAsia="Carlito" w:cs="Carlito"/>
          <w:sz w:val="22"/>
        </w:rPr>
        <w:t xml:space="preserve">Includes one approved data source, one report layout and a repeatable export command. Hosting, new data connectors and production rollout are excluded. Record changes with their effect on cost, dates and acceptance before starting them.</w:t>
      </w:r>
    </w:p>
    <w:p>
      <w:pPr>
        <w:pStyle w:val="Heading2"/>
        <w:keepNext/>
        <w:spacing w:before="280" w:after="160"/>
      </w:pPr>
      <w:r>
        <w:rPr>
          <w:rFonts w:ascii="Carlito" w:hAnsi="Carlito" w:eastAsia="Carlito" w:cs="Carlito"/>
          <w:b/>
          <w:bCs/>
          <w:color w:val="17365D"/>
          <w:sz w:val="30"/>
        </w:rPr>
        <w:t xml:space="preserve">Next actions</w:t>
      </w:r>
    </w:p>
    <w:p>
      <w:pPr>
        <w:pStyle w:val="ListParagraph"/>
        <w:numPr>
          <w:ilvl w:val="0"/>
          <w:numId w:val="1"/>
        </w:numPr>
        <w:spacing w:before="0" w:after="140"/>
      </w:pPr>
      <w:r>
        <w:rPr>
          <w:rFonts w:ascii="Carlito" w:hAnsi="Carlito" w:eastAsia="Carlito" w:cs="Carlito"/>
          <w:sz w:val="22"/>
        </w:rPr>
        <w:t xml:space="preserve">Customer owner: approve the sample data and layout.</w:t>
      </w:r>
    </w:p>
    <w:p>
      <w:pPr>
        <w:pStyle w:val="ListParagraph"/>
        <w:numPr>
          <w:ilvl w:val="0"/>
          <w:numId w:val="1"/>
        </w:numPr>
        <w:spacing w:before="0" w:after="140"/>
      </w:pPr>
      <w:r>
        <w:rPr>
          <w:rFonts w:ascii="Carlito" w:hAnsi="Carlito" w:eastAsia="Carlito" w:cs="Carlito"/>
          <w:sz w:val="22"/>
        </w:rPr>
        <w:t xml:space="preserve">Delivery lead: record acceptance for each deliverable.</w:t>
      </w:r>
    </w:p>
    <w:p>
      <w:pPr>
        <w:pStyle w:val="ListParagraph"/>
        <w:numPr>
          <w:ilvl w:val="0"/>
          <w:numId w:val="1"/>
        </w:numPr>
        <w:spacing w:before="0" w:after="140"/>
      </w:pPr>
      <w:r>
        <w:rPr>
          <w:rFonts w:ascii="Carlito" w:hAnsi="Carlito" w:eastAsia="Carlito" w:cs="Carlito"/>
          <w:sz w:val="22"/>
        </w:rPr>
        <w:t xml:space="preserve">Both owners: agree any scope change before implementation.</w:t>
      </w:r>
    </w:p>
    <w:sectPr w:rsidR="8A9DC1E2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A8F6CD0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numbering" Target="numbering.xml" Id="R48fb19a0301241b1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